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61" w:rsidRDefault="00E748DD">
      <w:pPr>
        <w:jc w:val="center"/>
        <w:rPr>
          <w:rFonts w:ascii="Times New Roman" w:eastAsia="標楷體" w:hAnsi="Times New Roman"/>
          <w:b/>
          <w:sz w:val="32"/>
          <w:szCs w:val="32"/>
        </w:rPr>
      </w:pPr>
      <w:r>
        <w:rPr>
          <w:rFonts w:ascii="標楷體" w:eastAsia="標楷體" w:hAnsi="標楷體" w:hint="eastAsia"/>
          <w:noProof/>
          <w:kern w:val="0"/>
          <w:sz w:val="28"/>
          <w:szCs w:val="28"/>
        </w:rPr>
        <mc:AlternateContent>
          <mc:Choice Requires="wps">
            <w:drawing>
              <wp:anchor distT="0" distB="0" distL="114300" distR="114300" simplePos="0" relativeHeight="251659264" behindDoc="0" locked="0" layoutInCell="1" allowOverlap="1" wp14:anchorId="49206026" wp14:editId="7A1564D2">
                <wp:simplePos x="0" y="0"/>
                <wp:positionH relativeFrom="column">
                  <wp:posOffset>-468021</wp:posOffset>
                </wp:positionH>
                <wp:positionV relativeFrom="paragraph">
                  <wp:posOffset>-474955</wp:posOffset>
                </wp:positionV>
                <wp:extent cx="747422" cy="333955"/>
                <wp:effectExtent l="0" t="0" r="14605" b="28575"/>
                <wp:wrapNone/>
                <wp:docPr id="1" name="文字方塊 1"/>
                <wp:cNvGraphicFramePr/>
                <a:graphic xmlns:a="http://schemas.openxmlformats.org/drawingml/2006/main">
                  <a:graphicData uri="http://schemas.microsoft.com/office/word/2010/wordprocessingShape">
                    <wps:wsp>
                      <wps:cNvSpPr txBox="1"/>
                      <wps:spPr>
                        <a:xfrm>
                          <a:off x="0" y="0"/>
                          <a:ext cx="747422" cy="333955"/>
                        </a:xfrm>
                        <a:prstGeom prst="rect">
                          <a:avLst/>
                        </a:prstGeom>
                        <a:solidFill>
                          <a:schemeClr val="lt1"/>
                        </a:solidFill>
                        <a:ln w="6350">
                          <a:solidFill>
                            <a:prstClr val="black"/>
                          </a:solidFill>
                        </a:ln>
                      </wps:spPr>
                      <wps:txbx>
                        <w:txbxContent>
                          <w:p w:rsidR="00E748DD" w:rsidRPr="003D07F2" w:rsidRDefault="00E748DD" w:rsidP="00E748DD">
                            <w:pPr>
                              <w:rPr>
                                <w:rFonts w:ascii="標楷體" w:eastAsia="標楷體" w:hAnsi="標楷體"/>
                              </w:rPr>
                            </w:pPr>
                            <w:r>
                              <w:rPr>
                                <w:rFonts w:ascii="標楷體" w:eastAsia="標楷體" w:hAnsi="標楷體" w:hint="eastAsia"/>
                              </w:rPr>
                              <w:t>附表二</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206026" id="_x0000_t202" coordsize="21600,21600" o:spt="202" path="m,l,21600r21600,l21600,xe">
                <v:stroke joinstyle="miter"/>
                <v:path gradientshapeok="t" o:connecttype="rect"/>
              </v:shapetype>
              <v:shape id="文字方塊 1" o:spid="_x0000_s1026" type="#_x0000_t202" style="position:absolute;left:0;text-align:left;margin-left:-36.85pt;margin-top:-37.4pt;width:58.85pt;height:2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" fillcolor="white [3201]" strokeweight=".5pt">
                <v:textbox>
                  <w:txbxContent>
                    <w:p w:rsidR="00E748DD" w:rsidRPr="003D07F2" w:rsidRDefault="00E748DD" w:rsidP="00E748DD">
                      <w:pPr>
                        <w:rPr>
                          <w:rFonts w:ascii="標楷體" w:eastAsia="標楷體" w:hAnsi="標楷體"/>
                        </w:rPr>
                      </w:pPr>
                      <w:r>
                        <w:rPr>
                          <w:rFonts w:ascii="標楷體" w:eastAsia="標楷體" w:hAnsi="標楷體" w:hint="eastAsia"/>
                        </w:rPr>
                        <w:t>附表二</w:t>
                      </w:r>
                      <w:bookmarkStart w:id="1" w:name="_GoBack"/>
                      <w:bookmarkEnd w:id="1"/>
                    </w:p>
                  </w:txbxContent>
                </v:textbox>
              </v:shape>
            </w:pict>
          </mc:Fallback>
        </mc:AlternateContent>
      </w:r>
      <w:r w:rsidR="006914DE" w:rsidRPr="006914DE">
        <w:rPr>
          <w:rFonts w:ascii="Times New Roman" w:eastAsia="標楷體" w:hAnsi="Times New Roman" w:hint="eastAsia"/>
          <w:b/>
          <w:sz w:val="32"/>
          <w:szCs w:val="32"/>
        </w:rPr>
        <w:t>證券投資信託事業募集或追加募集證券投資信託基金申報案件檢查表</w:t>
      </w:r>
      <w:r w:rsidR="009A1175">
        <w:rPr>
          <w:rFonts w:ascii="Times New Roman" w:eastAsia="標楷體" w:hAnsi="Times New Roman" w:hint="eastAsia"/>
          <w:b/>
          <w:sz w:val="32"/>
          <w:szCs w:val="32"/>
        </w:rPr>
        <w:t>之填表說明</w:t>
      </w:r>
    </w:p>
    <w:p w:rsidR="004A41AD" w:rsidRDefault="004A41AD">
      <w:pPr>
        <w:jc w:val="center"/>
      </w:pPr>
    </w:p>
    <w:p w:rsidR="00C06921" w:rsidRPr="00BD0D85" w:rsidRDefault="00C06921" w:rsidP="00B64001">
      <w:pPr>
        <w:pStyle w:val="a7"/>
        <w:numPr>
          <w:ilvl w:val="0"/>
          <w:numId w:val="44"/>
        </w:numPr>
        <w:snapToGrid w:val="0"/>
        <w:spacing w:line="360" w:lineRule="atLeast"/>
        <w:jc w:val="both"/>
        <w:rPr>
          <w:rFonts w:ascii="Times New Roman" w:eastAsia="標楷體" w:hAnsi="Times New Roman"/>
          <w:color w:val="000000" w:themeColor="text1"/>
          <w:szCs w:val="28"/>
        </w:rPr>
      </w:pPr>
      <w:r w:rsidRPr="00BD0D85">
        <w:rPr>
          <w:rFonts w:ascii="Times New Roman" w:eastAsia="標楷體" w:hAnsi="Times New Roman"/>
          <w:color w:val="000000" w:themeColor="text1"/>
          <w:szCs w:val="28"/>
        </w:rPr>
        <w:t>依據</w:t>
      </w:r>
      <w:r w:rsidRPr="00BD0D85">
        <w:rPr>
          <w:rFonts w:ascii="Times New Roman" w:eastAsia="標楷體" w:hAnsi="Times New Roman" w:hint="eastAsia"/>
          <w:color w:val="000000" w:themeColor="text1"/>
          <w:szCs w:val="28"/>
        </w:rPr>
        <w:t>臺灣集中保管結算所股份有限公司受託辦理境內外基金募集案件審查作業要點</w:t>
      </w:r>
      <w:r w:rsidRPr="00BD0D85">
        <w:rPr>
          <w:rFonts w:ascii="Times New Roman" w:eastAsia="標楷體" w:hAnsi="Times New Roman"/>
          <w:color w:val="000000" w:themeColor="text1"/>
          <w:szCs w:val="28"/>
        </w:rPr>
        <w:t>第</w:t>
      </w:r>
      <w:r w:rsidRPr="00BD0D85">
        <w:rPr>
          <w:rFonts w:ascii="Times New Roman" w:eastAsia="標楷體" w:hAnsi="Times New Roman" w:hint="eastAsia"/>
          <w:color w:val="000000" w:themeColor="text1"/>
          <w:szCs w:val="28"/>
        </w:rPr>
        <w:t>三條及第十一</w:t>
      </w:r>
      <w:r w:rsidRPr="00BD0D85">
        <w:rPr>
          <w:rFonts w:ascii="Times New Roman" w:eastAsia="標楷體" w:hAnsi="Times New Roman"/>
          <w:color w:val="000000" w:themeColor="text1"/>
          <w:szCs w:val="28"/>
        </w:rPr>
        <w:t>條</w:t>
      </w:r>
      <w:r w:rsidRPr="00BD0D85">
        <w:rPr>
          <w:rFonts w:ascii="Times New Roman" w:eastAsia="標楷體" w:hAnsi="Times New Roman" w:hint="eastAsia"/>
          <w:color w:val="000000" w:themeColor="text1"/>
          <w:szCs w:val="28"/>
        </w:rPr>
        <w:t>規定</w:t>
      </w:r>
      <w:r w:rsidRPr="00BD0D85">
        <w:rPr>
          <w:rFonts w:ascii="Times New Roman" w:eastAsia="標楷體" w:hAnsi="Times New Roman"/>
          <w:color w:val="000000" w:themeColor="text1"/>
          <w:szCs w:val="28"/>
        </w:rPr>
        <w:t>，</w:t>
      </w:r>
      <w:r w:rsidRPr="00BD0D85">
        <w:rPr>
          <w:rFonts w:ascii="Times New Roman" w:eastAsia="標楷體" w:hAnsi="Times New Roman" w:hint="eastAsia"/>
          <w:color w:val="000000" w:themeColor="text1"/>
          <w:szCs w:val="28"/>
        </w:rPr>
        <w:t>證券投資信託事業</w:t>
      </w:r>
      <w:r w:rsidRPr="00BD0D85">
        <w:rPr>
          <w:rFonts w:ascii="Times New Roman" w:eastAsia="標楷體" w:hAnsi="Times New Roman"/>
          <w:color w:val="000000" w:themeColor="text1"/>
          <w:szCs w:val="28"/>
        </w:rPr>
        <w:t>應將申報書、應</w:t>
      </w:r>
      <w:proofErr w:type="gramStart"/>
      <w:r w:rsidRPr="00BD0D85">
        <w:rPr>
          <w:rFonts w:ascii="Times New Roman" w:eastAsia="標楷體" w:hAnsi="Times New Roman"/>
          <w:color w:val="000000" w:themeColor="text1"/>
          <w:szCs w:val="28"/>
        </w:rPr>
        <w:t>檢附書件</w:t>
      </w:r>
      <w:proofErr w:type="gramEnd"/>
      <w:r w:rsidRPr="00BD0D85">
        <w:rPr>
          <w:rFonts w:ascii="Times New Roman" w:eastAsia="標楷體" w:hAnsi="Times New Roman"/>
          <w:color w:val="000000" w:themeColor="text1"/>
          <w:szCs w:val="28"/>
        </w:rPr>
        <w:t>及同業公會審查意見，</w:t>
      </w:r>
      <w:proofErr w:type="gramStart"/>
      <w:r w:rsidRPr="00BD0D85">
        <w:rPr>
          <w:rFonts w:ascii="Times New Roman" w:eastAsia="標楷體" w:hAnsi="Times New Roman"/>
          <w:color w:val="000000" w:themeColor="text1"/>
          <w:szCs w:val="28"/>
        </w:rPr>
        <w:t>併</w:t>
      </w:r>
      <w:proofErr w:type="gramEnd"/>
      <w:r w:rsidRPr="00BD0D85">
        <w:rPr>
          <w:rFonts w:ascii="Times New Roman" w:eastAsia="標楷體" w:hAnsi="Times New Roman"/>
          <w:color w:val="000000" w:themeColor="text1"/>
          <w:szCs w:val="28"/>
        </w:rPr>
        <w:t>本案件檢查表</w:t>
      </w:r>
      <w:r w:rsidR="00480C3B" w:rsidRPr="00BD0D85">
        <w:rPr>
          <w:rFonts w:ascii="Times New Roman" w:eastAsia="標楷體" w:hAnsi="Times New Roman" w:hint="eastAsia"/>
          <w:color w:val="000000" w:themeColor="text1"/>
          <w:szCs w:val="28"/>
        </w:rPr>
        <w:t>提供</w:t>
      </w:r>
      <w:r w:rsidRPr="00BD0D85">
        <w:rPr>
          <w:rFonts w:ascii="Times New Roman" w:eastAsia="標楷體" w:hAnsi="Times New Roman"/>
          <w:color w:val="000000" w:themeColor="text1"/>
          <w:szCs w:val="28"/>
        </w:rPr>
        <w:t>本公司。</w:t>
      </w:r>
    </w:p>
    <w:p w:rsidR="008F0A31" w:rsidRDefault="005067BC" w:rsidP="007E0BD4">
      <w:pPr>
        <w:pStyle w:val="a7"/>
        <w:numPr>
          <w:ilvl w:val="0"/>
          <w:numId w:val="44"/>
        </w:numPr>
        <w:tabs>
          <w:tab w:val="left" w:pos="616"/>
        </w:tabs>
        <w:snapToGrid w:val="0"/>
        <w:spacing w:line="360" w:lineRule="atLeast"/>
        <w:ind w:left="1022" w:hanging="1022"/>
        <w:jc w:val="both"/>
        <w:rPr>
          <w:rFonts w:ascii="Times New Roman" w:eastAsia="標楷體" w:hAnsi="Times New Roman"/>
          <w:szCs w:val="28"/>
        </w:rPr>
      </w:pPr>
      <w:r w:rsidRPr="00BD0D85">
        <w:rPr>
          <w:rFonts w:ascii="Times New Roman" w:eastAsia="標楷體" w:hAnsi="Times New Roman" w:hint="eastAsia"/>
          <w:color w:val="000000" w:themeColor="text1"/>
          <w:szCs w:val="28"/>
        </w:rPr>
        <w:t>(</w:t>
      </w:r>
      <w:proofErr w:type="gramStart"/>
      <w:r w:rsidRPr="00BD0D85">
        <w:rPr>
          <w:rFonts w:ascii="Times New Roman" w:eastAsia="標楷體" w:hAnsi="Times New Roman" w:hint="eastAsia"/>
          <w:color w:val="000000" w:themeColor="text1"/>
          <w:szCs w:val="28"/>
        </w:rPr>
        <w:t>一</w:t>
      </w:r>
      <w:proofErr w:type="gramEnd"/>
      <w:r w:rsidR="008F0A31" w:rsidRPr="00BD0D85">
        <w:rPr>
          <w:rFonts w:ascii="Times New Roman" w:eastAsia="標楷體" w:hAnsi="Times New Roman" w:hint="eastAsia"/>
          <w:color w:val="000000" w:themeColor="text1"/>
          <w:szCs w:val="28"/>
        </w:rPr>
        <w:t>)</w:t>
      </w:r>
      <w:r w:rsidRPr="00BD0D85">
        <w:rPr>
          <w:rFonts w:ascii="Times New Roman" w:eastAsia="標楷體" w:hAnsi="Times New Roman" w:hint="eastAsia"/>
          <w:color w:val="000000" w:themeColor="text1"/>
          <w:szCs w:val="28"/>
        </w:rPr>
        <w:t>申報案件屬</w:t>
      </w:r>
      <w:r w:rsidRPr="00BD0D85">
        <w:rPr>
          <w:rFonts w:ascii="Times New Roman" w:eastAsia="標楷體" w:hAnsi="Times New Roman" w:hint="eastAsia"/>
          <w:color w:val="000000" w:themeColor="text1"/>
          <w:szCs w:val="28"/>
        </w:rPr>
        <w:t>7</w:t>
      </w:r>
      <w:r w:rsidRPr="00BD0D85">
        <w:rPr>
          <w:rFonts w:ascii="Times New Roman" w:eastAsia="標楷體" w:hAnsi="Times New Roman" w:hint="eastAsia"/>
          <w:color w:val="000000" w:themeColor="text1"/>
          <w:szCs w:val="28"/>
        </w:rPr>
        <w:t>日申報生效制及</w:t>
      </w:r>
      <w:r w:rsidRPr="00BD0D85">
        <w:rPr>
          <w:rFonts w:ascii="Times New Roman" w:eastAsia="標楷體" w:hAnsi="Times New Roman" w:hint="eastAsia"/>
          <w:color w:val="000000" w:themeColor="text1"/>
          <w:szCs w:val="28"/>
        </w:rPr>
        <w:t>12</w:t>
      </w:r>
      <w:r w:rsidRPr="00BD0D85">
        <w:rPr>
          <w:rFonts w:ascii="Times New Roman" w:eastAsia="標楷體" w:hAnsi="Times New Roman" w:hint="eastAsia"/>
          <w:color w:val="000000" w:themeColor="text1"/>
          <w:szCs w:val="28"/>
        </w:rPr>
        <w:t>日申報生效制</w:t>
      </w:r>
      <w:r w:rsidR="008F0A31" w:rsidRPr="00BD0D85">
        <w:rPr>
          <w:rFonts w:ascii="Times New Roman" w:eastAsia="標楷體" w:hAnsi="Times New Roman" w:hint="eastAsia"/>
          <w:color w:val="000000" w:themeColor="text1"/>
          <w:szCs w:val="28"/>
        </w:rPr>
        <w:t>(</w:t>
      </w:r>
      <w:r w:rsidR="008F0A31" w:rsidRPr="00BD0D85">
        <w:rPr>
          <w:rFonts w:ascii="Times New Roman" w:eastAsia="標楷體" w:hAnsi="Times New Roman" w:hint="eastAsia"/>
          <w:color w:val="000000" w:themeColor="text1"/>
          <w:szCs w:val="28"/>
        </w:rPr>
        <w:t>不含</w:t>
      </w:r>
      <w:r w:rsidR="008F0A31" w:rsidRPr="00BD0D85">
        <w:rPr>
          <w:rFonts w:ascii="Times New Roman" w:eastAsia="標楷體" w:hAnsi="Times New Roman" w:hint="eastAsia"/>
          <w:color w:val="000000" w:themeColor="text1"/>
          <w:szCs w:val="28"/>
        </w:rPr>
        <w:t>ESG</w:t>
      </w:r>
      <w:r w:rsidR="00960451" w:rsidRPr="00BD0D85">
        <w:rPr>
          <w:rFonts w:ascii="Times New Roman" w:eastAsia="標楷體" w:hAnsi="Times New Roman" w:hint="eastAsia"/>
          <w:color w:val="000000" w:themeColor="text1"/>
          <w:szCs w:val="28"/>
        </w:rPr>
        <w:t>基金</w:t>
      </w:r>
      <w:r w:rsidR="003D6E83" w:rsidRPr="00BD0D85">
        <w:rPr>
          <w:rFonts w:ascii="Times New Roman" w:eastAsia="標楷體" w:hAnsi="Times New Roman" w:hint="eastAsia"/>
          <w:color w:val="000000" w:themeColor="text1"/>
          <w:szCs w:val="28"/>
        </w:rPr>
        <w:t>、躍進計畫</w:t>
      </w:r>
      <w:r w:rsidR="00974C98" w:rsidRPr="00BD0D85">
        <w:rPr>
          <w:rFonts w:ascii="Times New Roman" w:eastAsia="標楷體" w:hAnsi="Times New Roman" w:hint="eastAsia"/>
          <w:color w:val="000000" w:themeColor="text1"/>
          <w:szCs w:val="28"/>
        </w:rPr>
        <w:t>者</w:t>
      </w:r>
      <w:r w:rsidR="008F0A31" w:rsidRPr="00BD0D85">
        <w:rPr>
          <w:rFonts w:ascii="Times New Roman" w:eastAsia="標楷體" w:hAnsi="Times New Roman" w:hint="eastAsia"/>
          <w:color w:val="000000" w:themeColor="text1"/>
          <w:szCs w:val="28"/>
        </w:rPr>
        <w:t>)</w:t>
      </w:r>
      <w:r w:rsidRPr="00BD0D85">
        <w:rPr>
          <w:rFonts w:ascii="Times New Roman" w:eastAsia="標楷體" w:hAnsi="Times New Roman" w:hint="eastAsia"/>
          <w:color w:val="000000" w:themeColor="text1"/>
          <w:szCs w:val="28"/>
        </w:rPr>
        <w:t>，請</w:t>
      </w:r>
      <w:r w:rsidR="00960451" w:rsidRPr="00BD0D85">
        <w:rPr>
          <w:rFonts w:ascii="Times New Roman" w:eastAsia="標楷體" w:hAnsi="Times New Roman" w:hint="eastAsia"/>
          <w:color w:val="000000" w:themeColor="text1"/>
          <w:szCs w:val="28"/>
        </w:rPr>
        <w:t>於取得</w:t>
      </w:r>
      <w:r w:rsidR="00960451" w:rsidRPr="00BD0D85">
        <w:rPr>
          <w:rFonts w:ascii="Times New Roman" w:eastAsia="標楷體" w:hAnsi="Times New Roman"/>
          <w:color w:val="000000" w:themeColor="text1"/>
          <w:szCs w:val="28"/>
        </w:rPr>
        <w:t>同業公會審查意見</w:t>
      </w:r>
      <w:r w:rsidR="00960451" w:rsidRPr="00BD0D85">
        <w:rPr>
          <w:rFonts w:ascii="Times New Roman" w:eastAsia="標楷體" w:hAnsi="Times New Roman" w:hint="eastAsia"/>
          <w:color w:val="000000" w:themeColor="text1"/>
          <w:szCs w:val="28"/>
        </w:rPr>
        <w:t>後</w:t>
      </w:r>
      <w:r w:rsidR="00960451">
        <w:rPr>
          <w:rFonts w:ascii="Times New Roman" w:eastAsia="標楷體" w:hAnsi="Times New Roman" w:hint="eastAsia"/>
          <w:szCs w:val="28"/>
        </w:rPr>
        <w:t>，向</w:t>
      </w:r>
      <w:r w:rsidR="008F0A31">
        <w:rPr>
          <w:rFonts w:ascii="Times New Roman" w:eastAsia="標楷體" w:hAnsi="Times New Roman" w:hint="eastAsia"/>
          <w:szCs w:val="28"/>
        </w:rPr>
        <w:t>本公司</w:t>
      </w:r>
      <w:r w:rsidR="00960451">
        <w:rPr>
          <w:rFonts w:ascii="Times New Roman" w:eastAsia="標楷體" w:hAnsi="Times New Roman" w:hint="eastAsia"/>
          <w:szCs w:val="28"/>
        </w:rPr>
        <w:t>申報前項所述文件</w:t>
      </w:r>
      <w:r w:rsidRPr="005067BC">
        <w:rPr>
          <w:rFonts w:ascii="Times New Roman" w:eastAsia="標楷體" w:hAnsi="Times New Roman" w:hint="eastAsia"/>
          <w:szCs w:val="28"/>
        </w:rPr>
        <w:t>；</w:t>
      </w:r>
    </w:p>
    <w:p w:rsidR="00B64001" w:rsidRDefault="008F0A31" w:rsidP="007E0BD4">
      <w:pPr>
        <w:pStyle w:val="a7"/>
        <w:snapToGrid w:val="0"/>
        <w:spacing w:line="360" w:lineRule="atLeast"/>
        <w:ind w:leftChars="250" w:left="960" w:hangingChars="150" w:hanging="360"/>
        <w:jc w:val="both"/>
        <w:rPr>
          <w:rFonts w:ascii="Times New Roman" w:eastAsia="標楷體" w:hAnsi="Times New Roman"/>
          <w:szCs w:val="28"/>
        </w:rPr>
      </w:pPr>
      <w:r>
        <w:rPr>
          <w:rFonts w:ascii="Times New Roman" w:eastAsia="標楷體" w:hAnsi="Times New Roman" w:hint="eastAsia"/>
          <w:szCs w:val="28"/>
        </w:rPr>
        <w:t>(</w:t>
      </w:r>
      <w:r>
        <w:rPr>
          <w:rFonts w:ascii="Times New Roman" w:eastAsia="標楷體" w:hAnsi="Times New Roman" w:hint="eastAsia"/>
          <w:szCs w:val="28"/>
        </w:rPr>
        <w:t>二</w:t>
      </w:r>
      <w:r>
        <w:rPr>
          <w:rFonts w:ascii="Times New Roman" w:eastAsia="標楷體" w:hAnsi="Times New Roman" w:hint="eastAsia"/>
          <w:szCs w:val="28"/>
        </w:rPr>
        <w:t>)</w:t>
      </w:r>
      <w:r w:rsidRPr="005067BC">
        <w:rPr>
          <w:rFonts w:ascii="Times New Roman" w:eastAsia="標楷體" w:hAnsi="Times New Roman" w:hint="eastAsia"/>
          <w:szCs w:val="28"/>
        </w:rPr>
        <w:t>申報案件</w:t>
      </w:r>
      <w:r w:rsidR="00A84AE2">
        <w:rPr>
          <w:rFonts w:ascii="Times New Roman" w:eastAsia="標楷體" w:hAnsi="Times New Roman" w:hint="eastAsia"/>
          <w:szCs w:val="28"/>
        </w:rPr>
        <w:t>屬</w:t>
      </w:r>
      <w:r w:rsidR="00A84AE2" w:rsidRPr="005067BC">
        <w:rPr>
          <w:rFonts w:ascii="Times New Roman" w:eastAsia="標楷體" w:hAnsi="Times New Roman" w:hint="eastAsia"/>
          <w:szCs w:val="28"/>
        </w:rPr>
        <w:t>12</w:t>
      </w:r>
      <w:r w:rsidR="00A84AE2" w:rsidRPr="005067BC">
        <w:rPr>
          <w:rFonts w:ascii="Times New Roman" w:eastAsia="標楷體" w:hAnsi="Times New Roman" w:hint="eastAsia"/>
          <w:szCs w:val="28"/>
        </w:rPr>
        <w:t>日申報生效制</w:t>
      </w:r>
      <w:r w:rsidR="00A84AE2">
        <w:rPr>
          <w:rFonts w:ascii="Times New Roman" w:eastAsia="標楷體" w:hAnsi="Times New Roman" w:hint="eastAsia"/>
          <w:szCs w:val="28"/>
        </w:rPr>
        <w:t>(ESG</w:t>
      </w:r>
      <w:r w:rsidR="00A84AE2">
        <w:rPr>
          <w:rFonts w:ascii="Times New Roman" w:eastAsia="標楷體" w:hAnsi="Times New Roman" w:hint="eastAsia"/>
          <w:szCs w:val="28"/>
        </w:rPr>
        <w:t>基金、躍進計畫</w:t>
      </w:r>
      <w:r w:rsidR="00A84AE2" w:rsidRPr="005067BC">
        <w:rPr>
          <w:rFonts w:ascii="Times New Roman" w:eastAsia="標楷體" w:hAnsi="Times New Roman" w:hint="eastAsia"/>
          <w:szCs w:val="28"/>
        </w:rPr>
        <w:t>者</w:t>
      </w:r>
      <w:r w:rsidR="00A84AE2">
        <w:rPr>
          <w:rFonts w:ascii="Times New Roman" w:eastAsia="標楷體" w:hAnsi="Times New Roman" w:hint="eastAsia"/>
          <w:szCs w:val="28"/>
        </w:rPr>
        <w:t>)</w:t>
      </w:r>
      <w:r w:rsidR="00A84AE2">
        <w:rPr>
          <w:rFonts w:ascii="Times New Roman" w:eastAsia="標楷體" w:hAnsi="Times New Roman" w:hint="eastAsia"/>
          <w:szCs w:val="28"/>
        </w:rPr>
        <w:t>及</w:t>
      </w:r>
      <w:r w:rsidR="005067BC" w:rsidRPr="005067BC">
        <w:rPr>
          <w:rFonts w:ascii="Times New Roman" w:eastAsia="標楷體" w:hAnsi="Times New Roman" w:hint="eastAsia"/>
          <w:szCs w:val="28"/>
        </w:rPr>
        <w:t>屬</w:t>
      </w:r>
      <w:r w:rsidR="005067BC" w:rsidRPr="005067BC">
        <w:rPr>
          <w:rFonts w:ascii="Times New Roman" w:eastAsia="標楷體" w:hAnsi="Times New Roman" w:hint="eastAsia"/>
          <w:szCs w:val="28"/>
        </w:rPr>
        <w:t>30</w:t>
      </w:r>
      <w:r w:rsidR="005067BC" w:rsidRPr="005067BC">
        <w:rPr>
          <w:rFonts w:ascii="Times New Roman" w:eastAsia="標楷體" w:hAnsi="Times New Roman" w:hint="eastAsia"/>
          <w:szCs w:val="28"/>
        </w:rPr>
        <w:t>日申報生效制，請於</w:t>
      </w:r>
      <w:r w:rsidR="00960451">
        <w:rPr>
          <w:rFonts w:ascii="Times New Roman" w:eastAsia="標楷體" w:hAnsi="Times New Roman" w:hint="eastAsia"/>
          <w:szCs w:val="28"/>
        </w:rPr>
        <w:t>取得</w:t>
      </w:r>
      <w:r w:rsidR="00960451" w:rsidRPr="00B64001">
        <w:rPr>
          <w:rFonts w:ascii="Times New Roman" w:eastAsia="標楷體" w:hAnsi="Times New Roman"/>
          <w:szCs w:val="28"/>
        </w:rPr>
        <w:t>同業公會審查意見</w:t>
      </w:r>
      <w:r w:rsidR="00960451">
        <w:rPr>
          <w:rFonts w:ascii="Times New Roman" w:eastAsia="標楷體" w:hAnsi="Times New Roman" w:hint="eastAsia"/>
          <w:szCs w:val="28"/>
        </w:rPr>
        <w:t>後，並</w:t>
      </w:r>
      <w:r w:rsidR="00845E7A">
        <w:rPr>
          <w:rFonts w:ascii="Times New Roman" w:eastAsia="標楷體" w:hAnsi="Times New Roman" w:hint="eastAsia"/>
          <w:szCs w:val="28"/>
        </w:rPr>
        <w:t>於</w:t>
      </w:r>
      <w:r w:rsidR="005067BC" w:rsidRPr="005067BC">
        <w:rPr>
          <w:rFonts w:ascii="Times New Roman" w:eastAsia="標楷體" w:hAnsi="Times New Roman" w:hint="eastAsia"/>
          <w:szCs w:val="28"/>
        </w:rPr>
        <w:t>向主管機關</w:t>
      </w:r>
      <w:r>
        <w:rPr>
          <w:rFonts w:ascii="Times New Roman" w:eastAsia="標楷體" w:hAnsi="Times New Roman" w:hint="eastAsia"/>
          <w:szCs w:val="28"/>
        </w:rPr>
        <w:t>申報之</w:t>
      </w:r>
      <w:r w:rsidR="005067BC" w:rsidRPr="005067BC">
        <w:rPr>
          <w:rFonts w:ascii="Times New Roman" w:eastAsia="標楷體" w:hAnsi="Times New Roman" w:hint="eastAsia"/>
          <w:szCs w:val="28"/>
        </w:rPr>
        <w:t>三個營業日前</w:t>
      </w:r>
      <w:r w:rsidR="00960451">
        <w:rPr>
          <w:rFonts w:ascii="Times New Roman" w:eastAsia="標楷體" w:hAnsi="Times New Roman" w:hint="eastAsia"/>
          <w:szCs w:val="28"/>
        </w:rPr>
        <w:t>，</w:t>
      </w:r>
      <w:r w:rsidR="005067BC" w:rsidRPr="005067BC">
        <w:rPr>
          <w:rFonts w:ascii="Times New Roman" w:eastAsia="標楷體" w:hAnsi="Times New Roman" w:hint="eastAsia"/>
          <w:szCs w:val="28"/>
        </w:rPr>
        <w:t>函送本公司</w:t>
      </w:r>
      <w:r w:rsidR="005067BC">
        <w:rPr>
          <w:rFonts w:ascii="Times New Roman" w:eastAsia="標楷體" w:hAnsi="Times New Roman" w:hint="eastAsia"/>
          <w:szCs w:val="28"/>
        </w:rPr>
        <w:t>前項所述文件。</w:t>
      </w:r>
    </w:p>
    <w:p w:rsidR="005067BC" w:rsidRPr="00B64001" w:rsidRDefault="008F0A31" w:rsidP="008F0A31">
      <w:pPr>
        <w:pStyle w:val="a7"/>
        <w:numPr>
          <w:ilvl w:val="0"/>
          <w:numId w:val="44"/>
        </w:numPr>
        <w:snapToGrid w:val="0"/>
        <w:spacing w:line="360" w:lineRule="atLeast"/>
        <w:jc w:val="both"/>
        <w:rPr>
          <w:rFonts w:ascii="Times New Roman" w:eastAsia="標楷體" w:hAnsi="Times New Roman"/>
          <w:szCs w:val="28"/>
        </w:rPr>
      </w:pPr>
      <w:r>
        <w:rPr>
          <w:rFonts w:ascii="Times New Roman" w:eastAsia="標楷體" w:hAnsi="Times New Roman" w:hint="eastAsia"/>
          <w:szCs w:val="28"/>
        </w:rPr>
        <w:t>請依</w:t>
      </w:r>
      <w:r w:rsidRPr="008F0A31">
        <w:rPr>
          <w:rFonts w:ascii="Times New Roman" w:eastAsia="標楷體" w:hAnsi="Times New Roman" w:hint="eastAsia"/>
          <w:szCs w:val="28"/>
        </w:rPr>
        <w:t>證券投資信託基金</w:t>
      </w:r>
      <w:r>
        <w:rPr>
          <w:rFonts w:ascii="Times New Roman" w:eastAsia="標楷體" w:hAnsi="Times New Roman" w:hint="eastAsia"/>
          <w:szCs w:val="28"/>
        </w:rPr>
        <w:t>之類型填寫本檢查表</w:t>
      </w:r>
      <w:r w:rsidR="00960451">
        <w:rPr>
          <w:rFonts w:ascii="Times New Roman" w:eastAsia="標楷體" w:hAnsi="Times New Roman" w:hint="eastAsia"/>
          <w:szCs w:val="28"/>
        </w:rPr>
        <w:t>，</w:t>
      </w:r>
      <w:r w:rsidR="005C063E">
        <w:rPr>
          <w:rFonts w:ascii="Times New Roman" w:eastAsia="標楷體" w:hAnsi="Times New Roman" w:hint="eastAsia"/>
          <w:szCs w:val="28"/>
        </w:rPr>
        <w:t>填寫</w:t>
      </w:r>
      <w:r w:rsidR="00960451">
        <w:rPr>
          <w:rFonts w:ascii="Times New Roman" w:eastAsia="標楷體" w:hAnsi="Times New Roman" w:hint="eastAsia"/>
          <w:szCs w:val="28"/>
        </w:rPr>
        <w:t>內容</w:t>
      </w:r>
      <w:r w:rsidR="005C063E">
        <w:rPr>
          <w:rFonts w:ascii="Times New Roman" w:eastAsia="標楷體" w:hAnsi="Times New Roman" w:hint="eastAsia"/>
          <w:szCs w:val="28"/>
        </w:rPr>
        <w:t>說明</w:t>
      </w:r>
      <w:r w:rsidR="00960451">
        <w:rPr>
          <w:rFonts w:ascii="Times New Roman" w:eastAsia="標楷體" w:hAnsi="Times New Roman" w:hint="eastAsia"/>
          <w:szCs w:val="28"/>
        </w:rPr>
        <w:t>如下：</w:t>
      </w:r>
    </w:p>
    <w:tbl>
      <w:tblPr>
        <w:tblStyle w:val="af0"/>
        <w:tblW w:w="0" w:type="auto"/>
        <w:tblLook w:val="04A0" w:firstRow="1" w:lastRow="0" w:firstColumn="1" w:lastColumn="0" w:noHBand="0" w:noVBand="1"/>
      </w:tblPr>
      <w:tblGrid>
        <w:gridCol w:w="4649"/>
        <w:gridCol w:w="4649"/>
        <w:gridCol w:w="1550"/>
        <w:gridCol w:w="1550"/>
        <w:gridCol w:w="1550"/>
      </w:tblGrid>
      <w:tr w:rsidR="005C063E" w:rsidRPr="005C063E" w:rsidTr="00FE35CB">
        <w:trPr>
          <w:trHeight w:val="397"/>
        </w:trPr>
        <w:tc>
          <w:tcPr>
            <w:tcW w:w="4649" w:type="dxa"/>
            <w:shd w:val="clear" w:color="auto" w:fill="D9D9D9" w:themeFill="background1" w:themeFillShade="D9"/>
            <w:vAlign w:val="center"/>
          </w:tcPr>
          <w:p w:rsidR="005C063E" w:rsidRPr="005C063E" w:rsidRDefault="000A3B74" w:rsidP="00FE35CB">
            <w:pPr>
              <w:jc w:val="center"/>
              <w:rPr>
                <w:rFonts w:ascii="Times New Roman" w:eastAsia="標楷體" w:hAnsi="Times New Roman"/>
                <w:b/>
                <w:szCs w:val="24"/>
              </w:rPr>
            </w:pPr>
            <w:r>
              <w:rPr>
                <w:rFonts w:ascii="Times New Roman" w:eastAsia="標楷體" w:hAnsi="Times New Roman" w:hint="eastAsia"/>
                <w:b/>
                <w:szCs w:val="24"/>
              </w:rPr>
              <w:t>檢查表</w:t>
            </w:r>
            <w:r w:rsidR="005C063E">
              <w:rPr>
                <w:rFonts w:ascii="Times New Roman" w:eastAsia="標楷體" w:hAnsi="Times New Roman" w:hint="eastAsia"/>
                <w:b/>
                <w:szCs w:val="24"/>
              </w:rPr>
              <w:t>內容</w:t>
            </w:r>
          </w:p>
        </w:tc>
        <w:tc>
          <w:tcPr>
            <w:tcW w:w="4649" w:type="dxa"/>
            <w:shd w:val="clear" w:color="auto" w:fill="D9D9D9" w:themeFill="background1" w:themeFillShade="D9"/>
            <w:vAlign w:val="center"/>
          </w:tcPr>
          <w:p w:rsidR="005C063E" w:rsidRPr="005C063E" w:rsidRDefault="005C063E" w:rsidP="00FE35CB">
            <w:pPr>
              <w:jc w:val="center"/>
              <w:rPr>
                <w:rFonts w:ascii="Times New Roman" w:eastAsia="標楷體" w:hAnsi="Times New Roman"/>
                <w:b/>
                <w:szCs w:val="24"/>
              </w:rPr>
            </w:pPr>
            <w:r>
              <w:rPr>
                <w:rFonts w:ascii="Times New Roman" w:eastAsia="標楷體" w:hAnsi="Times New Roman" w:hint="eastAsia"/>
                <w:b/>
                <w:szCs w:val="24"/>
              </w:rPr>
              <w:t>適用類型</w:t>
            </w:r>
          </w:p>
        </w:tc>
        <w:tc>
          <w:tcPr>
            <w:tcW w:w="4650" w:type="dxa"/>
            <w:gridSpan w:val="3"/>
            <w:shd w:val="clear" w:color="auto" w:fill="D9D9D9" w:themeFill="background1" w:themeFillShade="D9"/>
            <w:vAlign w:val="center"/>
          </w:tcPr>
          <w:p w:rsidR="005C063E" w:rsidRPr="005C063E" w:rsidRDefault="005C063E" w:rsidP="00FE35CB">
            <w:pPr>
              <w:jc w:val="center"/>
              <w:rPr>
                <w:rFonts w:ascii="Times New Roman" w:eastAsia="標楷體" w:hAnsi="Times New Roman"/>
                <w:b/>
                <w:szCs w:val="24"/>
              </w:rPr>
            </w:pPr>
            <w:r>
              <w:rPr>
                <w:rFonts w:ascii="Times New Roman" w:eastAsia="標楷體" w:hAnsi="Times New Roman" w:hint="eastAsia"/>
                <w:b/>
                <w:szCs w:val="24"/>
              </w:rPr>
              <w:t>是否已完成填寫</w:t>
            </w:r>
          </w:p>
        </w:tc>
      </w:tr>
      <w:tr w:rsidR="005C063E" w:rsidRPr="005C063E" w:rsidTr="00FE35CB">
        <w:trPr>
          <w:trHeight w:val="397"/>
        </w:trPr>
        <w:tc>
          <w:tcPr>
            <w:tcW w:w="4649" w:type="dxa"/>
            <w:vAlign w:val="center"/>
          </w:tcPr>
          <w:p w:rsidR="005C063E" w:rsidRPr="005C063E" w:rsidRDefault="00E748DD" w:rsidP="00FE35CB">
            <w:pPr>
              <w:jc w:val="both"/>
              <w:rPr>
                <w:rFonts w:ascii="Times New Roman" w:eastAsia="標楷體" w:hAnsi="Times New Roman"/>
                <w:szCs w:val="24"/>
              </w:rPr>
            </w:pPr>
            <w:hyperlink w:anchor="_壹、申報案件基本資料表" w:history="1">
              <w:r w:rsidR="005C063E" w:rsidRPr="006E23A3">
                <w:rPr>
                  <w:rStyle w:val="af1"/>
                  <w:rFonts w:ascii="Times New Roman" w:eastAsia="標楷體" w:hAnsi="Times New Roman" w:hint="eastAsia"/>
                  <w:szCs w:val="24"/>
                </w:rPr>
                <w:t>壹、申報案件基本資料表</w:t>
              </w:r>
            </w:hyperlink>
          </w:p>
        </w:tc>
        <w:tc>
          <w:tcPr>
            <w:tcW w:w="4649" w:type="dxa"/>
            <w:vAlign w:val="center"/>
          </w:tcPr>
          <w:p w:rsidR="005C063E" w:rsidRPr="005C063E" w:rsidRDefault="005C063E" w:rsidP="00FE35CB">
            <w:pPr>
              <w:jc w:val="center"/>
              <w:rPr>
                <w:rFonts w:ascii="Times New Roman" w:eastAsia="標楷體" w:hAnsi="Times New Roman"/>
                <w:szCs w:val="24"/>
              </w:rPr>
            </w:pPr>
            <w:r w:rsidRPr="005C063E">
              <w:rPr>
                <w:rFonts w:ascii="Times New Roman" w:eastAsia="標楷體" w:hAnsi="Times New Roman" w:hint="eastAsia"/>
                <w:szCs w:val="24"/>
              </w:rPr>
              <w:t>所有案件</w:t>
            </w:r>
            <w:r w:rsidR="00FE35CB">
              <w:rPr>
                <w:rFonts w:ascii="Times New Roman" w:eastAsia="標楷體" w:hAnsi="Times New Roman" w:hint="eastAsia"/>
                <w:szCs w:val="24"/>
              </w:rPr>
              <w:t>適用</w:t>
            </w:r>
            <w:r w:rsidR="003D288B">
              <w:rPr>
                <w:rFonts w:ascii="Times New Roman" w:eastAsia="標楷體" w:hAnsi="Times New Roman" w:hint="eastAsia"/>
                <w:szCs w:val="24"/>
              </w:rPr>
              <w:t>(</w:t>
            </w:r>
            <w:r w:rsidR="003D288B">
              <w:rPr>
                <w:rFonts w:ascii="Times New Roman" w:eastAsia="標楷體" w:hAnsi="Times New Roman" w:hint="eastAsia"/>
                <w:szCs w:val="24"/>
              </w:rPr>
              <w:t>請</w:t>
            </w:r>
            <w:proofErr w:type="gramStart"/>
            <w:r w:rsidR="003D288B">
              <w:rPr>
                <w:rFonts w:ascii="Times New Roman" w:eastAsia="標楷體" w:hAnsi="Times New Roman" w:hint="eastAsia"/>
                <w:szCs w:val="24"/>
              </w:rPr>
              <w:t>於表頭加</w:t>
            </w:r>
            <w:proofErr w:type="gramEnd"/>
            <w:r w:rsidR="003D288B">
              <w:rPr>
                <w:rFonts w:ascii="Times New Roman" w:eastAsia="標楷體" w:hAnsi="Times New Roman" w:hint="eastAsia"/>
                <w:szCs w:val="24"/>
              </w:rPr>
              <w:t>蓋</w:t>
            </w:r>
            <w:proofErr w:type="gramStart"/>
            <w:r w:rsidR="003D288B">
              <w:rPr>
                <w:rFonts w:ascii="Times New Roman" w:eastAsia="標楷體" w:hAnsi="Times New Roman" w:hint="eastAsia"/>
                <w:szCs w:val="24"/>
              </w:rPr>
              <w:t>公司大章</w:t>
            </w:r>
            <w:proofErr w:type="gramEnd"/>
            <w:r w:rsidR="003D288B">
              <w:rPr>
                <w:rFonts w:ascii="Times New Roman" w:eastAsia="標楷體" w:hAnsi="Times New Roman" w:hint="eastAsia"/>
                <w:szCs w:val="24"/>
              </w:rPr>
              <w:t>)</w:t>
            </w:r>
          </w:p>
        </w:tc>
        <w:tc>
          <w:tcPr>
            <w:tcW w:w="1550" w:type="dxa"/>
            <w:vAlign w:val="center"/>
          </w:tcPr>
          <w:p w:rsidR="005C063E" w:rsidRPr="005C063E" w:rsidRDefault="005C063E" w:rsidP="00FE35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5C063E" w:rsidRPr="005C063E" w:rsidRDefault="005C063E" w:rsidP="00FE35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5C063E" w:rsidRPr="005C063E" w:rsidRDefault="005C063E" w:rsidP="00FE35CB">
            <w:pPr>
              <w:jc w:val="center"/>
              <w:rPr>
                <w:rFonts w:ascii="Times New Roman" w:eastAsia="標楷體" w:hAnsi="Times New Roman"/>
                <w:szCs w:val="24"/>
              </w:rPr>
            </w:pPr>
          </w:p>
        </w:tc>
      </w:tr>
      <w:tr w:rsidR="005C063E" w:rsidRPr="005C063E" w:rsidTr="00FE35CB">
        <w:trPr>
          <w:trHeight w:val="397"/>
        </w:trPr>
        <w:tc>
          <w:tcPr>
            <w:tcW w:w="4649" w:type="dxa"/>
            <w:vAlign w:val="center"/>
          </w:tcPr>
          <w:p w:rsidR="005C063E" w:rsidRPr="005C063E" w:rsidRDefault="00E748DD" w:rsidP="00FE35CB">
            <w:pPr>
              <w:jc w:val="both"/>
              <w:rPr>
                <w:rFonts w:ascii="Times New Roman" w:eastAsia="標楷體" w:hAnsi="Times New Roman"/>
                <w:szCs w:val="24"/>
              </w:rPr>
            </w:pPr>
            <w:hyperlink w:anchor="_貳、追加募集案件之檢查事項與說明" w:history="1">
              <w:r w:rsidR="005C063E" w:rsidRPr="006E23A3">
                <w:rPr>
                  <w:rStyle w:val="af1"/>
                  <w:rFonts w:ascii="Times New Roman" w:eastAsia="標楷體" w:hAnsi="Times New Roman" w:hint="eastAsia"/>
                  <w:szCs w:val="24"/>
                </w:rPr>
                <w:t>貳、</w:t>
              </w:r>
              <w:r w:rsidR="000A3B74" w:rsidRPr="006E23A3">
                <w:rPr>
                  <w:rStyle w:val="af1"/>
                  <w:rFonts w:ascii="標楷體" w:eastAsia="標楷體" w:hAnsi="標楷體" w:hint="eastAsia"/>
                  <w:szCs w:val="24"/>
                </w:rPr>
                <w:t>「</w:t>
              </w:r>
              <w:r w:rsidR="005C063E" w:rsidRPr="006E23A3">
                <w:rPr>
                  <w:rStyle w:val="af1"/>
                  <w:rFonts w:ascii="Times New Roman" w:eastAsia="標楷體" w:hAnsi="Times New Roman" w:hint="eastAsia"/>
                  <w:szCs w:val="24"/>
                </w:rPr>
                <w:t>追加募集案件</w:t>
              </w:r>
              <w:r w:rsidR="000A3B74" w:rsidRPr="006E23A3">
                <w:rPr>
                  <w:rStyle w:val="af1"/>
                  <w:rFonts w:ascii="標楷體" w:eastAsia="標楷體" w:hAnsi="標楷體" w:hint="eastAsia"/>
                  <w:szCs w:val="24"/>
                </w:rPr>
                <w:t>」</w:t>
              </w:r>
              <w:r w:rsidR="005C063E" w:rsidRPr="006E23A3">
                <w:rPr>
                  <w:rStyle w:val="af1"/>
                  <w:rFonts w:ascii="Times New Roman" w:eastAsia="標楷體" w:hAnsi="Times New Roman" w:hint="eastAsia"/>
                  <w:szCs w:val="24"/>
                </w:rPr>
                <w:t>之檢查事項與說明</w:t>
              </w:r>
            </w:hyperlink>
          </w:p>
        </w:tc>
        <w:tc>
          <w:tcPr>
            <w:tcW w:w="4649" w:type="dxa"/>
            <w:vAlign w:val="center"/>
          </w:tcPr>
          <w:p w:rsidR="005C063E" w:rsidRPr="005C063E" w:rsidRDefault="00FE35CB" w:rsidP="00FE35CB">
            <w:pPr>
              <w:jc w:val="center"/>
              <w:rPr>
                <w:rFonts w:ascii="Times New Roman" w:eastAsia="標楷體" w:hAnsi="Times New Roman"/>
                <w:szCs w:val="24"/>
              </w:rPr>
            </w:pPr>
            <w:r w:rsidRPr="005C063E">
              <w:rPr>
                <w:rFonts w:ascii="Times New Roman" w:eastAsia="標楷體" w:hAnsi="Times New Roman" w:hint="eastAsia"/>
                <w:szCs w:val="24"/>
              </w:rPr>
              <w:t>追加募集案件</w:t>
            </w:r>
            <w:r>
              <w:rPr>
                <w:rFonts w:ascii="Times New Roman" w:eastAsia="標楷體" w:hAnsi="Times New Roman" w:hint="eastAsia"/>
                <w:szCs w:val="24"/>
              </w:rPr>
              <w:t>適用</w:t>
            </w:r>
          </w:p>
        </w:tc>
        <w:tc>
          <w:tcPr>
            <w:tcW w:w="1550" w:type="dxa"/>
            <w:vAlign w:val="center"/>
          </w:tcPr>
          <w:p w:rsidR="005C063E" w:rsidRPr="005C063E" w:rsidRDefault="005C063E" w:rsidP="00FE35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5C063E" w:rsidRPr="005C063E" w:rsidRDefault="005C063E" w:rsidP="00FE35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5C063E" w:rsidRPr="005C063E" w:rsidRDefault="005C063E" w:rsidP="00FE35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不適用</w:t>
            </w:r>
          </w:p>
        </w:tc>
      </w:tr>
      <w:tr w:rsidR="005C063E" w:rsidRPr="005C063E" w:rsidTr="00FE35CB">
        <w:trPr>
          <w:trHeight w:val="397"/>
        </w:trPr>
        <w:tc>
          <w:tcPr>
            <w:tcW w:w="4649" w:type="dxa"/>
            <w:vAlign w:val="center"/>
          </w:tcPr>
          <w:p w:rsidR="005C063E" w:rsidRPr="005C063E" w:rsidRDefault="00E748DD" w:rsidP="00FE35CB">
            <w:pPr>
              <w:jc w:val="both"/>
              <w:rPr>
                <w:rFonts w:ascii="Times New Roman" w:eastAsia="標楷體" w:hAnsi="Times New Roman"/>
                <w:szCs w:val="24"/>
              </w:rPr>
            </w:pPr>
            <w:hyperlink w:anchor="_參、首次募集案件之檢查事項與說明" w:history="1">
              <w:r w:rsidR="005C063E" w:rsidRPr="006E23A3">
                <w:rPr>
                  <w:rStyle w:val="af1"/>
                  <w:rFonts w:ascii="Times New Roman" w:eastAsia="標楷體" w:hAnsi="Times New Roman" w:hint="eastAsia"/>
                  <w:szCs w:val="24"/>
                </w:rPr>
                <w:t>參、</w:t>
              </w:r>
              <w:r w:rsidR="000A3B74" w:rsidRPr="006E23A3">
                <w:rPr>
                  <w:rStyle w:val="af1"/>
                  <w:rFonts w:ascii="標楷體" w:eastAsia="標楷體" w:hAnsi="標楷體" w:hint="eastAsia"/>
                  <w:szCs w:val="24"/>
                </w:rPr>
                <w:t>「</w:t>
              </w:r>
              <w:r w:rsidR="005C063E" w:rsidRPr="006E23A3">
                <w:rPr>
                  <w:rStyle w:val="af1"/>
                  <w:rFonts w:ascii="Times New Roman" w:eastAsia="標楷體" w:hAnsi="Times New Roman" w:hint="eastAsia"/>
                  <w:szCs w:val="24"/>
                </w:rPr>
                <w:t>首次募集案件</w:t>
              </w:r>
              <w:r w:rsidR="000A3B74" w:rsidRPr="006E23A3">
                <w:rPr>
                  <w:rStyle w:val="af1"/>
                  <w:rFonts w:ascii="標楷體" w:eastAsia="標楷體" w:hAnsi="標楷體" w:hint="eastAsia"/>
                  <w:szCs w:val="24"/>
                </w:rPr>
                <w:t>」</w:t>
              </w:r>
              <w:r w:rsidR="005C063E" w:rsidRPr="006E23A3">
                <w:rPr>
                  <w:rStyle w:val="af1"/>
                  <w:rFonts w:ascii="Times New Roman" w:eastAsia="標楷體" w:hAnsi="Times New Roman" w:hint="eastAsia"/>
                  <w:szCs w:val="24"/>
                </w:rPr>
                <w:t>之檢查事項與說明</w:t>
              </w:r>
            </w:hyperlink>
          </w:p>
        </w:tc>
        <w:tc>
          <w:tcPr>
            <w:tcW w:w="4649" w:type="dxa"/>
            <w:vAlign w:val="center"/>
          </w:tcPr>
          <w:p w:rsidR="005C063E" w:rsidRPr="005C063E" w:rsidRDefault="00FE35CB" w:rsidP="00FE35CB">
            <w:pPr>
              <w:jc w:val="center"/>
              <w:rPr>
                <w:rFonts w:ascii="Times New Roman" w:eastAsia="標楷體" w:hAnsi="Times New Roman"/>
                <w:szCs w:val="24"/>
              </w:rPr>
            </w:pPr>
            <w:r w:rsidRPr="005C063E">
              <w:rPr>
                <w:rFonts w:ascii="Times New Roman" w:eastAsia="標楷體" w:hAnsi="Times New Roman" w:hint="eastAsia"/>
                <w:szCs w:val="24"/>
              </w:rPr>
              <w:t>首次募集案件</w:t>
            </w:r>
            <w:r>
              <w:rPr>
                <w:rFonts w:ascii="Times New Roman" w:eastAsia="標楷體" w:hAnsi="Times New Roman" w:hint="eastAsia"/>
                <w:szCs w:val="24"/>
              </w:rPr>
              <w:t>適用</w:t>
            </w:r>
          </w:p>
        </w:tc>
        <w:tc>
          <w:tcPr>
            <w:tcW w:w="1550" w:type="dxa"/>
            <w:vAlign w:val="center"/>
          </w:tcPr>
          <w:p w:rsidR="005C063E" w:rsidRPr="005C063E" w:rsidRDefault="005C063E" w:rsidP="00FE35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5C063E" w:rsidRPr="005C063E" w:rsidRDefault="005C063E" w:rsidP="00FE35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5C063E" w:rsidRPr="005C063E" w:rsidRDefault="005C063E" w:rsidP="00FE35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不適用</w:t>
            </w:r>
          </w:p>
        </w:tc>
      </w:tr>
      <w:tr w:rsidR="004177CB" w:rsidRPr="005C063E" w:rsidTr="00FE35CB">
        <w:trPr>
          <w:trHeight w:val="397"/>
        </w:trPr>
        <w:tc>
          <w:tcPr>
            <w:tcW w:w="4649" w:type="dxa"/>
            <w:vAlign w:val="center"/>
          </w:tcPr>
          <w:p w:rsidR="004177CB" w:rsidRPr="005C063E" w:rsidRDefault="00E748DD" w:rsidP="004177CB">
            <w:pPr>
              <w:jc w:val="both"/>
              <w:rPr>
                <w:rFonts w:ascii="Times New Roman" w:eastAsia="標楷體" w:hAnsi="Times New Roman"/>
                <w:szCs w:val="24"/>
              </w:rPr>
            </w:pPr>
            <w:hyperlink w:anchor="_肆、目標到期債券型基金應說明事項" w:history="1">
              <w:r w:rsidR="004177CB" w:rsidRPr="006E23A3">
                <w:rPr>
                  <w:rStyle w:val="af1"/>
                  <w:rFonts w:ascii="Times New Roman" w:eastAsia="標楷體" w:hAnsi="Times New Roman" w:hint="eastAsia"/>
                  <w:szCs w:val="24"/>
                </w:rPr>
                <w:t>肆、</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目標到期債券型基金</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應說明事項</w:t>
              </w:r>
            </w:hyperlink>
          </w:p>
        </w:tc>
        <w:tc>
          <w:tcPr>
            <w:tcW w:w="4649" w:type="dxa"/>
            <w:vMerge w:val="restart"/>
            <w:vAlign w:val="center"/>
          </w:tcPr>
          <w:p w:rsidR="004177CB" w:rsidRDefault="004177CB" w:rsidP="004177CB">
            <w:pPr>
              <w:jc w:val="center"/>
              <w:rPr>
                <w:rFonts w:ascii="Times New Roman" w:eastAsia="標楷體" w:hAnsi="Times New Roman"/>
                <w:szCs w:val="24"/>
              </w:rPr>
            </w:pPr>
            <w:r>
              <w:rPr>
                <w:rFonts w:ascii="Times New Roman" w:eastAsia="標楷體" w:hAnsi="Times New Roman" w:hint="eastAsia"/>
                <w:szCs w:val="24"/>
              </w:rPr>
              <w:t>符合左列特定類型</w:t>
            </w:r>
            <w:r w:rsidRPr="007A1F16">
              <w:rPr>
                <w:rFonts w:ascii="Times New Roman" w:eastAsia="標楷體" w:hAnsi="Times New Roman" w:hint="eastAsia"/>
                <w:szCs w:val="24"/>
              </w:rPr>
              <w:t>首次募集</w:t>
            </w:r>
            <w:r w:rsidRPr="005C063E">
              <w:rPr>
                <w:rFonts w:ascii="Times New Roman" w:eastAsia="標楷體" w:hAnsi="Times New Roman" w:hint="eastAsia"/>
                <w:szCs w:val="24"/>
              </w:rPr>
              <w:t>案件</w:t>
            </w:r>
            <w:r>
              <w:rPr>
                <w:rFonts w:ascii="Times New Roman" w:eastAsia="標楷體" w:hAnsi="Times New Roman" w:hint="eastAsia"/>
                <w:szCs w:val="24"/>
              </w:rPr>
              <w:t>適用，</w:t>
            </w:r>
          </w:p>
          <w:p w:rsidR="004177CB" w:rsidRPr="005C063E" w:rsidRDefault="004177CB" w:rsidP="004177CB">
            <w:pPr>
              <w:jc w:val="center"/>
              <w:rPr>
                <w:rFonts w:ascii="Times New Roman" w:eastAsia="標楷體" w:hAnsi="Times New Roman"/>
                <w:szCs w:val="24"/>
              </w:rPr>
            </w:pPr>
            <w:proofErr w:type="gramStart"/>
            <w:r>
              <w:rPr>
                <w:rFonts w:ascii="Times New Roman" w:eastAsia="標楷體" w:hAnsi="Times New Roman" w:hint="eastAsia"/>
                <w:szCs w:val="24"/>
              </w:rPr>
              <w:t>若非屬左列</w:t>
            </w:r>
            <w:proofErr w:type="gramEnd"/>
            <w:r w:rsidR="001752F0">
              <w:rPr>
                <w:rFonts w:ascii="Times New Roman" w:eastAsia="標楷體" w:hAnsi="Times New Roman" w:hint="eastAsia"/>
                <w:szCs w:val="24"/>
              </w:rPr>
              <w:t>特定</w:t>
            </w:r>
            <w:r>
              <w:rPr>
                <w:rFonts w:ascii="Times New Roman" w:eastAsia="標楷體" w:hAnsi="Times New Roman" w:hint="eastAsia"/>
                <w:szCs w:val="24"/>
              </w:rPr>
              <w:t>類型</w:t>
            </w:r>
            <w:r w:rsidRPr="005C063E">
              <w:rPr>
                <w:rFonts w:ascii="Times New Roman" w:eastAsia="標楷體" w:hAnsi="Times New Roman" w:hint="eastAsia"/>
                <w:szCs w:val="24"/>
              </w:rPr>
              <w:t>案件</w:t>
            </w:r>
            <w:r w:rsidR="00823174">
              <w:rPr>
                <w:rFonts w:ascii="Times New Roman" w:eastAsia="標楷體" w:hAnsi="Times New Roman" w:hint="eastAsia"/>
                <w:szCs w:val="24"/>
              </w:rPr>
              <w:t>則無需檢附</w:t>
            </w:r>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4177CB" w:rsidRPr="005C063E" w:rsidRDefault="004177CB" w:rsidP="004177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不適用</w:t>
            </w:r>
          </w:p>
        </w:tc>
      </w:tr>
      <w:tr w:rsidR="004177CB" w:rsidRPr="005C063E" w:rsidTr="00FE35CB">
        <w:trPr>
          <w:trHeight w:val="397"/>
        </w:trPr>
        <w:tc>
          <w:tcPr>
            <w:tcW w:w="4649" w:type="dxa"/>
            <w:vAlign w:val="center"/>
          </w:tcPr>
          <w:p w:rsidR="004177CB" w:rsidRPr="005C063E" w:rsidRDefault="00E748DD" w:rsidP="004177CB">
            <w:pPr>
              <w:jc w:val="both"/>
              <w:rPr>
                <w:rFonts w:ascii="Times New Roman" w:eastAsia="標楷體" w:hAnsi="Times New Roman"/>
                <w:szCs w:val="24"/>
              </w:rPr>
            </w:pPr>
            <w:hyperlink w:anchor="_伍、ESG相關主題基金應說明事項" w:history="1">
              <w:r w:rsidR="004177CB" w:rsidRPr="006E23A3">
                <w:rPr>
                  <w:rStyle w:val="af1"/>
                  <w:rFonts w:ascii="Times New Roman" w:eastAsia="標楷體" w:hAnsi="Times New Roman" w:hint="eastAsia"/>
                  <w:szCs w:val="24"/>
                </w:rPr>
                <w:t>伍、</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szCs w:val="24"/>
                </w:rPr>
                <w:t>ESG</w:t>
              </w:r>
              <w:r w:rsidR="004177CB" w:rsidRPr="006E23A3">
                <w:rPr>
                  <w:rStyle w:val="af1"/>
                  <w:rFonts w:ascii="Times New Roman" w:eastAsia="標楷體" w:hAnsi="Times New Roman"/>
                  <w:szCs w:val="24"/>
                </w:rPr>
                <w:t>相關主題基金</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應說明事項</w:t>
              </w:r>
            </w:hyperlink>
          </w:p>
        </w:tc>
        <w:tc>
          <w:tcPr>
            <w:tcW w:w="4649" w:type="dxa"/>
            <w:vMerge/>
            <w:vAlign w:val="center"/>
          </w:tcPr>
          <w:p w:rsidR="004177CB" w:rsidRDefault="004177CB" w:rsidP="004177CB">
            <w:pPr>
              <w:jc w:val="center"/>
              <w:rPr>
                <w:rFonts w:ascii="Times New Roman" w:eastAsia="標楷體" w:hAnsi="Times New Roman"/>
                <w:szCs w:val="24"/>
              </w:rPr>
            </w:pPr>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4177CB" w:rsidRPr="005C063E" w:rsidRDefault="004177CB" w:rsidP="004177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不適用</w:t>
            </w:r>
          </w:p>
        </w:tc>
      </w:tr>
      <w:tr w:rsidR="004177CB" w:rsidRPr="005C063E" w:rsidTr="00FE35CB">
        <w:trPr>
          <w:trHeight w:val="397"/>
        </w:trPr>
        <w:tc>
          <w:tcPr>
            <w:tcW w:w="4649" w:type="dxa"/>
            <w:vAlign w:val="center"/>
          </w:tcPr>
          <w:p w:rsidR="004177CB" w:rsidRPr="005C063E" w:rsidRDefault="00E748DD" w:rsidP="004177CB">
            <w:pPr>
              <w:jc w:val="both"/>
              <w:rPr>
                <w:rFonts w:ascii="Times New Roman" w:eastAsia="標楷體" w:hAnsi="Times New Roman"/>
                <w:szCs w:val="24"/>
              </w:rPr>
            </w:pPr>
            <w:hyperlink w:anchor="_陸、多重資產型基金應說明事項" w:history="1">
              <w:r w:rsidR="004177CB" w:rsidRPr="006E23A3">
                <w:rPr>
                  <w:rStyle w:val="af1"/>
                  <w:rFonts w:ascii="Times New Roman" w:eastAsia="標楷體" w:hAnsi="Times New Roman" w:hint="eastAsia"/>
                  <w:szCs w:val="24"/>
                </w:rPr>
                <w:t>陸、</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多重資產型基金</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應說明事項</w:t>
              </w:r>
            </w:hyperlink>
          </w:p>
        </w:tc>
        <w:tc>
          <w:tcPr>
            <w:tcW w:w="4649" w:type="dxa"/>
            <w:vMerge/>
            <w:vAlign w:val="center"/>
          </w:tcPr>
          <w:p w:rsidR="004177CB" w:rsidRPr="005C063E" w:rsidRDefault="004177CB" w:rsidP="004177CB">
            <w:pPr>
              <w:jc w:val="center"/>
              <w:rPr>
                <w:rFonts w:ascii="Times New Roman" w:eastAsia="標楷體" w:hAnsi="Times New Roman"/>
                <w:szCs w:val="24"/>
              </w:rPr>
            </w:pPr>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4177CB" w:rsidRPr="005C063E" w:rsidRDefault="004177CB" w:rsidP="004177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不適用</w:t>
            </w:r>
          </w:p>
        </w:tc>
      </w:tr>
      <w:tr w:rsidR="004177CB" w:rsidRPr="005C063E" w:rsidTr="00FE35CB">
        <w:trPr>
          <w:trHeight w:val="397"/>
        </w:trPr>
        <w:tc>
          <w:tcPr>
            <w:tcW w:w="4649" w:type="dxa"/>
            <w:vAlign w:val="center"/>
          </w:tcPr>
          <w:p w:rsidR="004177CB" w:rsidRPr="005C063E" w:rsidRDefault="00E748DD" w:rsidP="004177CB">
            <w:pPr>
              <w:jc w:val="both"/>
              <w:rPr>
                <w:rFonts w:ascii="Times New Roman" w:eastAsia="標楷體" w:hAnsi="Times New Roman"/>
                <w:szCs w:val="24"/>
              </w:rPr>
            </w:pPr>
            <w:hyperlink w:anchor="_柒、組合型基金應說明事項" w:history="1">
              <w:proofErr w:type="gramStart"/>
              <w:r w:rsidR="004177CB" w:rsidRPr="006E23A3">
                <w:rPr>
                  <w:rStyle w:val="af1"/>
                  <w:rFonts w:ascii="Times New Roman" w:eastAsia="標楷體" w:hAnsi="Times New Roman" w:hint="eastAsia"/>
                  <w:szCs w:val="24"/>
                </w:rPr>
                <w:t>柒</w:t>
              </w:r>
              <w:proofErr w:type="gramEnd"/>
              <w:r w:rsidR="004177CB" w:rsidRPr="006E23A3">
                <w:rPr>
                  <w:rStyle w:val="af1"/>
                  <w:rFonts w:ascii="Times New Roman" w:eastAsia="標楷體" w:hAnsi="Times New Roman" w:hint="eastAsia"/>
                  <w:szCs w:val="24"/>
                </w:rPr>
                <w:t>、</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組合型基金</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應說明事項</w:t>
              </w:r>
            </w:hyperlink>
          </w:p>
        </w:tc>
        <w:tc>
          <w:tcPr>
            <w:tcW w:w="4649" w:type="dxa"/>
            <w:vMerge/>
            <w:vAlign w:val="center"/>
          </w:tcPr>
          <w:p w:rsidR="004177CB" w:rsidRPr="005C063E" w:rsidRDefault="004177CB" w:rsidP="004177CB">
            <w:pPr>
              <w:jc w:val="center"/>
              <w:rPr>
                <w:rFonts w:ascii="Times New Roman" w:eastAsia="標楷體" w:hAnsi="Times New Roman"/>
                <w:szCs w:val="24"/>
              </w:rPr>
            </w:pPr>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4177CB" w:rsidRPr="005C063E" w:rsidRDefault="004177CB" w:rsidP="004177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不適用</w:t>
            </w:r>
          </w:p>
        </w:tc>
      </w:tr>
      <w:tr w:rsidR="004177CB" w:rsidRPr="005C063E" w:rsidTr="00FE35CB">
        <w:trPr>
          <w:trHeight w:val="397"/>
        </w:trPr>
        <w:tc>
          <w:tcPr>
            <w:tcW w:w="4649" w:type="dxa"/>
            <w:vAlign w:val="center"/>
          </w:tcPr>
          <w:p w:rsidR="004177CB" w:rsidRPr="005C063E" w:rsidRDefault="00E748DD" w:rsidP="004177CB">
            <w:pPr>
              <w:jc w:val="both"/>
              <w:rPr>
                <w:rFonts w:ascii="Times New Roman" w:eastAsia="標楷體" w:hAnsi="Times New Roman"/>
                <w:szCs w:val="24"/>
              </w:rPr>
            </w:pPr>
            <w:hyperlink w:anchor="_捌、指數型基金應說明事項" w:history="1">
              <w:r w:rsidR="004177CB" w:rsidRPr="006E23A3">
                <w:rPr>
                  <w:rStyle w:val="af1"/>
                  <w:rFonts w:ascii="Times New Roman" w:eastAsia="標楷體" w:hAnsi="Times New Roman" w:hint="eastAsia"/>
                  <w:szCs w:val="24"/>
                </w:rPr>
                <w:t>捌、</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指數型基金</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應說明事項</w:t>
              </w:r>
            </w:hyperlink>
          </w:p>
        </w:tc>
        <w:tc>
          <w:tcPr>
            <w:tcW w:w="4649" w:type="dxa"/>
            <w:vMerge/>
            <w:vAlign w:val="center"/>
          </w:tcPr>
          <w:p w:rsidR="004177CB" w:rsidRPr="005C063E" w:rsidRDefault="004177CB" w:rsidP="004177CB">
            <w:pPr>
              <w:jc w:val="center"/>
              <w:rPr>
                <w:rFonts w:ascii="Times New Roman" w:eastAsia="標楷體" w:hAnsi="Times New Roman"/>
                <w:szCs w:val="24"/>
              </w:rPr>
            </w:pPr>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4177CB" w:rsidRPr="005C063E" w:rsidRDefault="004177CB" w:rsidP="004177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不適用</w:t>
            </w:r>
          </w:p>
        </w:tc>
      </w:tr>
      <w:tr w:rsidR="004177CB" w:rsidRPr="005C063E" w:rsidTr="00FE35CB">
        <w:trPr>
          <w:trHeight w:val="397"/>
        </w:trPr>
        <w:tc>
          <w:tcPr>
            <w:tcW w:w="4649" w:type="dxa"/>
            <w:vAlign w:val="center"/>
          </w:tcPr>
          <w:p w:rsidR="004177CB" w:rsidRPr="005C063E" w:rsidRDefault="00E748DD" w:rsidP="004177CB">
            <w:pPr>
              <w:jc w:val="both"/>
              <w:rPr>
                <w:rFonts w:ascii="Times New Roman" w:eastAsia="標楷體" w:hAnsi="Times New Roman"/>
                <w:szCs w:val="24"/>
              </w:rPr>
            </w:pPr>
            <w:hyperlink w:anchor="_玖、保本型基金應說明事項" w:history="1">
              <w:r w:rsidR="004177CB" w:rsidRPr="006E23A3">
                <w:rPr>
                  <w:rStyle w:val="af1"/>
                  <w:rFonts w:ascii="Times New Roman" w:eastAsia="標楷體" w:hAnsi="Times New Roman" w:hint="eastAsia"/>
                  <w:szCs w:val="24"/>
                </w:rPr>
                <w:t>玖、</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保本型基金</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應說明事項</w:t>
              </w:r>
            </w:hyperlink>
          </w:p>
        </w:tc>
        <w:tc>
          <w:tcPr>
            <w:tcW w:w="4649" w:type="dxa"/>
            <w:vMerge/>
            <w:vAlign w:val="center"/>
          </w:tcPr>
          <w:p w:rsidR="004177CB" w:rsidRPr="005C063E" w:rsidRDefault="004177CB" w:rsidP="004177CB">
            <w:pPr>
              <w:jc w:val="center"/>
              <w:rPr>
                <w:rFonts w:ascii="Times New Roman" w:eastAsia="標楷體" w:hAnsi="Times New Roman"/>
                <w:szCs w:val="24"/>
              </w:rPr>
            </w:pPr>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4177CB" w:rsidRPr="005C063E" w:rsidRDefault="004177CB" w:rsidP="004177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不適用</w:t>
            </w:r>
          </w:p>
        </w:tc>
      </w:tr>
      <w:tr w:rsidR="004177CB" w:rsidRPr="005C063E" w:rsidTr="00FE35CB">
        <w:trPr>
          <w:trHeight w:val="397"/>
        </w:trPr>
        <w:tc>
          <w:tcPr>
            <w:tcW w:w="4649" w:type="dxa"/>
            <w:vAlign w:val="center"/>
          </w:tcPr>
          <w:p w:rsidR="004177CB" w:rsidRPr="005C063E" w:rsidRDefault="00E748DD" w:rsidP="004177CB">
            <w:pPr>
              <w:jc w:val="both"/>
              <w:rPr>
                <w:rFonts w:ascii="Times New Roman" w:eastAsia="標楷體" w:hAnsi="Times New Roman"/>
                <w:szCs w:val="24"/>
              </w:rPr>
            </w:pPr>
            <w:hyperlink w:anchor="_拾、貨幣市場基金應說明事項" w:history="1">
              <w:r w:rsidR="004177CB" w:rsidRPr="006E23A3">
                <w:rPr>
                  <w:rStyle w:val="af1"/>
                  <w:rFonts w:ascii="Times New Roman" w:eastAsia="標楷體" w:hAnsi="Times New Roman" w:hint="eastAsia"/>
                  <w:szCs w:val="24"/>
                </w:rPr>
                <w:t>拾、</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貨幣市場基金</w:t>
              </w:r>
              <w:r w:rsidR="004177CB" w:rsidRPr="006E23A3">
                <w:rPr>
                  <w:rStyle w:val="af1"/>
                  <w:rFonts w:ascii="標楷體" w:eastAsia="標楷體" w:hAnsi="標楷體" w:hint="eastAsia"/>
                  <w:szCs w:val="24"/>
                </w:rPr>
                <w:t>」</w:t>
              </w:r>
              <w:r w:rsidR="004177CB" w:rsidRPr="006E23A3">
                <w:rPr>
                  <w:rStyle w:val="af1"/>
                  <w:rFonts w:ascii="Times New Roman" w:eastAsia="標楷體" w:hAnsi="Times New Roman" w:hint="eastAsia"/>
                  <w:szCs w:val="24"/>
                </w:rPr>
                <w:t>應說明事項</w:t>
              </w:r>
            </w:hyperlink>
          </w:p>
        </w:tc>
        <w:tc>
          <w:tcPr>
            <w:tcW w:w="4649" w:type="dxa"/>
            <w:vMerge/>
            <w:vAlign w:val="center"/>
          </w:tcPr>
          <w:p w:rsidR="004177CB" w:rsidRPr="005C063E" w:rsidRDefault="004177CB" w:rsidP="004177CB">
            <w:pPr>
              <w:jc w:val="center"/>
              <w:rPr>
                <w:rFonts w:ascii="Times New Roman" w:eastAsia="標楷體" w:hAnsi="Times New Roman"/>
                <w:szCs w:val="24"/>
              </w:rPr>
            </w:pPr>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是</w:t>
            </w:r>
          </w:p>
        </w:tc>
        <w:tc>
          <w:tcPr>
            <w:tcW w:w="1550" w:type="dxa"/>
            <w:vAlign w:val="center"/>
          </w:tcPr>
          <w:p w:rsidR="004177CB" w:rsidRPr="005C063E" w:rsidRDefault="004177CB" w:rsidP="004177CB">
            <w:pPr>
              <w:jc w:val="center"/>
              <w:rPr>
                <w:rFonts w:ascii="Times New Roman" w:eastAsia="標楷體" w:hAnsi="Times New Roman"/>
                <w:szCs w:val="24"/>
              </w:rPr>
            </w:pPr>
            <w:proofErr w:type="gramStart"/>
            <w:r w:rsidRPr="005C063E">
              <w:rPr>
                <w:rFonts w:ascii="標楷體" w:eastAsia="標楷體" w:hAnsi="標楷體" w:hint="eastAsia"/>
                <w:szCs w:val="24"/>
              </w:rPr>
              <w:t>□</w:t>
            </w:r>
            <w:r w:rsidRPr="005C063E">
              <w:rPr>
                <w:rFonts w:ascii="Times New Roman" w:eastAsia="標楷體" w:hAnsi="Times New Roman" w:hint="eastAsia"/>
                <w:szCs w:val="24"/>
              </w:rPr>
              <w:t>否</w:t>
            </w:r>
            <w:proofErr w:type="gramEnd"/>
          </w:p>
        </w:tc>
        <w:tc>
          <w:tcPr>
            <w:tcW w:w="1550" w:type="dxa"/>
            <w:vAlign w:val="center"/>
          </w:tcPr>
          <w:p w:rsidR="004177CB" w:rsidRPr="005C063E" w:rsidRDefault="004177CB" w:rsidP="004177CB">
            <w:pPr>
              <w:jc w:val="center"/>
              <w:rPr>
                <w:rFonts w:ascii="Times New Roman" w:eastAsia="標楷體" w:hAnsi="Times New Roman"/>
                <w:szCs w:val="24"/>
              </w:rPr>
            </w:pPr>
            <w:r w:rsidRPr="005C063E">
              <w:rPr>
                <w:rFonts w:ascii="標楷體" w:eastAsia="標楷體" w:hAnsi="標楷體" w:hint="eastAsia"/>
                <w:szCs w:val="24"/>
              </w:rPr>
              <w:t>□</w:t>
            </w:r>
            <w:r w:rsidRPr="005C063E">
              <w:rPr>
                <w:rFonts w:ascii="Times New Roman" w:eastAsia="標楷體" w:hAnsi="Times New Roman" w:hint="eastAsia"/>
                <w:szCs w:val="24"/>
              </w:rPr>
              <w:t>不適用</w:t>
            </w:r>
          </w:p>
        </w:tc>
      </w:tr>
    </w:tbl>
    <w:p w:rsidR="00FE35CB" w:rsidRPr="005067BC" w:rsidRDefault="00FE35CB" w:rsidP="00FE35CB">
      <w:pPr>
        <w:pStyle w:val="a7"/>
        <w:numPr>
          <w:ilvl w:val="0"/>
          <w:numId w:val="44"/>
        </w:numPr>
        <w:snapToGrid w:val="0"/>
        <w:spacing w:beforeLines="25" w:before="93" w:line="360" w:lineRule="atLeast"/>
        <w:ind w:left="482" w:hanging="482"/>
        <w:jc w:val="both"/>
        <w:rPr>
          <w:rFonts w:ascii="Times New Roman" w:eastAsia="標楷體" w:hAnsi="Times New Roman"/>
          <w:szCs w:val="28"/>
        </w:rPr>
      </w:pPr>
      <w:r>
        <w:rPr>
          <w:rFonts w:ascii="Times New Roman" w:eastAsia="標楷體" w:hAnsi="Times New Roman" w:hint="eastAsia"/>
          <w:szCs w:val="28"/>
        </w:rPr>
        <w:t>本公司收件地址為台北市松山區復興北路</w:t>
      </w:r>
      <w:r>
        <w:rPr>
          <w:rFonts w:ascii="Times New Roman" w:eastAsia="標楷體" w:hAnsi="Times New Roman" w:hint="eastAsia"/>
          <w:szCs w:val="28"/>
        </w:rPr>
        <w:t>363</w:t>
      </w:r>
      <w:r>
        <w:rPr>
          <w:rFonts w:ascii="Times New Roman" w:eastAsia="標楷體" w:hAnsi="Times New Roman" w:hint="eastAsia"/>
          <w:szCs w:val="28"/>
        </w:rPr>
        <w:t>號</w:t>
      </w:r>
      <w:r>
        <w:rPr>
          <w:rFonts w:ascii="Times New Roman" w:eastAsia="標楷體" w:hAnsi="Times New Roman" w:hint="eastAsia"/>
          <w:szCs w:val="28"/>
        </w:rPr>
        <w:t>3</w:t>
      </w:r>
      <w:r>
        <w:rPr>
          <w:rFonts w:ascii="Times New Roman" w:eastAsia="標楷體" w:hAnsi="Times New Roman" w:hint="eastAsia"/>
          <w:szCs w:val="28"/>
        </w:rPr>
        <w:t>樓</w:t>
      </w:r>
      <w:r w:rsidR="008C3DD6">
        <w:rPr>
          <w:rFonts w:ascii="Times New Roman" w:eastAsia="標楷體" w:hAnsi="Times New Roman" w:hint="eastAsia"/>
          <w:szCs w:val="28"/>
        </w:rPr>
        <w:t>(</w:t>
      </w:r>
      <w:r w:rsidR="008C3DD6">
        <w:rPr>
          <w:rFonts w:ascii="Times New Roman" w:eastAsia="標楷體" w:hAnsi="Times New Roman" w:hint="eastAsia"/>
          <w:szCs w:val="28"/>
        </w:rPr>
        <w:t>基金暨國際業務部</w:t>
      </w:r>
      <w:r w:rsidR="00432C2B">
        <w:rPr>
          <w:rFonts w:ascii="Times New Roman" w:eastAsia="標楷體" w:hAnsi="Times New Roman" w:hint="eastAsia"/>
          <w:szCs w:val="28"/>
        </w:rPr>
        <w:t>之</w:t>
      </w:r>
      <w:r w:rsidR="008C3DD6">
        <w:rPr>
          <w:rFonts w:ascii="Times New Roman" w:eastAsia="標楷體" w:hAnsi="Times New Roman" w:hint="eastAsia"/>
          <w:szCs w:val="28"/>
        </w:rPr>
        <w:t>基金審查組</w:t>
      </w:r>
      <w:r w:rsidR="008C3DD6">
        <w:rPr>
          <w:rFonts w:ascii="Times New Roman" w:eastAsia="標楷體" w:hAnsi="Times New Roman" w:hint="eastAsia"/>
          <w:szCs w:val="28"/>
        </w:rPr>
        <w:t>)</w:t>
      </w:r>
      <w:r w:rsidR="00984D61">
        <w:rPr>
          <w:rFonts w:ascii="Times New Roman" w:eastAsia="標楷體" w:hAnsi="Times New Roman" w:hint="eastAsia"/>
          <w:szCs w:val="28"/>
        </w:rPr>
        <w:t>，</w:t>
      </w:r>
      <w:r w:rsidR="0024284D">
        <w:rPr>
          <w:rFonts w:ascii="Times New Roman" w:eastAsia="標楷體" w:hAnsi="Times New Roman" w:hint="eastAsia"/>
          <w:szCs w:val="28"/>
        </w:rPr>
        <w:t>聯絡電話</w:t>
      </w:r>
      <w:r w:rsidR="00984D61">
        <w:rPr>
          <w:rFonts w:ascii="Times New Roman" w:eastAsia="標楷體" w:hAnsi="Times New Roman" w:hint="eastAsia"/>
          <w:szCs w:val="28"/>
        </w:rPr>
        <w:t>為</w:t>
      </w:r>
      <w:r>
        <w:rPr>
          <w:rFonts w:ascii="Times New Roman" w:eastAsia="標楷體" w:hAnsi="Times New Roman"/>
          <w:szCs w:val="28"/>
        </w:rPr>
        <w:t>02-2719-5805#345</w:t>
      </w:r>
      <w:r>
        <w:rPr>
          <w:rFonts w:ascii="Times New Roman" w:eastAsia="標楷體" w:hAnsi="Times New Roman" w:hint="eastAsia"/>
          <w:szCs w:val="28"/>
        </w:rPr>
        <w:t>，</w:t>
      </w:r>
      <w:r w:rsidR="0065389B">
        <w:rPr>
          <w:rFonts w:ascii="Times New Roman" w:eastAsia="標楷體" w:hAnsi="Times New Roman" w:hint="eastAsia"/>
          <w:szCs w:val="28"/>
        </w:rPr>
        <w:t>電子郵件信箱</w:t>
      </w:r>
      <w:r w:rsidR="00984D61">
        <w:rPr>
          <w:rFonts w:ascii="Times New Roman" w:eastAsia="標楷體" w:hAnsi="Times New Roman" w:hint="eastAsia"/>
          <w:szCs w:val="28"/>
        </w:rPr>
        <w:t>為</w:t>
      </w:r>
      <w:hyperlink r:id="rId8" w:history="1">
        <w:r>
          <w:rPr>
            <w:rStyle w:val="af1"/>
            <w:rFonts w:ascii="Times New Roman" w:eastAsia="標楷體" w:hAnsi="Times New Roman" w:hint="eastAsia"/>
            <w:szCs w:val="28"/>
          </w:rPr>
          <w:t>fundreview@tdcc.com.tw</w:t>
        </w:r>
      </w:hyperlink>
      <w:r>
        <w:rPr>
          <w:rFonts w:ascii="Times New Roman" w:eastAsia="標楷體" w:hAnsi="Times New Roman" w:hint="eastAsia"/>
          <w:szCs w:val="28"/>
        </w:rPr>
        <w:t>。</w:t>
      </w:r>
    </w:p>
    <w:p w:rsidR="008268FB" w:rsidRDefault="008268FB">
      <w:pPr>
        <w:widowControl/>
        <w:suppressAutoHyphens w:val="0"/>
        <w:rPr>
          <w:rFonts w:ascii="Times New Roman" w:eastAsia="標楷體" w:hAnsi="Times New Roman"/>
          <w:b/>
          <w:sz w:val="28"/>
          <w:szCs w:val="28"/>
        </w:rPr>
      </w:pPr>
      <w:r>
        <w:rPr>
          <w:rFonts w:ascii="Times New Roman" w:eastAsia="標楷體" w:hAnsi="Times New Roman"/>
          <w:b/>
          <w:sz w:val="28"/>
          <w:szCs w:val="28"/>
        </w:rPr>
        <w:br w:type="page"/>
      </w:r>
    </w:p>
    <w:p w:rsidR="009A1175" w:rsidRPr="00BD0D85" w:rsidRDefault="009A1175" w:rsidP="009A1175">
      <w:pPr>
        <w:jc w:val="center"/>
        <w:rPr>
          <w:color w:val="000000" w:themeColor="text1"/>
        </w:rPr>
      </w:pPr>
      <w:r w:rsidRPr="00BD0D85">
        <w:rPr>
          <w:rFonts w:ascii="Times New Roman" w:eastAsia="標楷體" w:hAnsi="Times New Roman" w:hint="eastAsia"/>
          <w:b/>
          <w:color w:val="000000" w:themeColor="text1"/>
          <w:sz w:val="32"/>
          <w:szCs w:val="32"/>
        </w:rPr>
        <w:lastRenderedPageBreak/>
        <w:t>證券投資信託事業募集或追加募集證券投資信託基金申報案件檢查表</w:t>
      </w:r>
    </w:p>
    <w:p w:rsidR="009A1175" w:rsidRPr="00BD0D85" w:rsidRDefault="009A1175">
      <w:pPr>
        <w:rPr>
          <w:rFonts w:ascii="Times New Roman" w:eastAsia="標楷體" w:hAnsi="Times New Roman"/>
          <w:b/>
          <w:color w:val="000000" w:themeColor="text1"/>
          <w:sz w:val="28"/>
          <w:szCs w:val="28"/>
        </w:rPr>
      </w:pPr>
    </w:p>
    <w:p w:rsidR="00BB2861" w:rsidRPr="00BD0D85" w:rsidRDefault="00593338" w:rsidP="006E23A3">
      <w:pPr>
        <w:pStyle w:val="1"/>
        <w:spacing w:before="0" w:after="0" w:line="240" w:lineRule="auto"/>
        <w:rPr>
          <w:rFonts w:ascii="標楷體" w:eastAsia="標楷體" w:hAnsi="標楷體"/>
          <w:color w:val="000000" w:themeColor="text1"/>
          <w:sz w:val="28"/>
          <w:szCs w:val="28"/>
        </w:rPr>
      </w:pPr>
      <w:bookmarkStart w:id="2" w:name="_壹、申報案件基本資料表"/>
      <w:bookmarkEnd w:id="2"/>
      <w:r w:rsidRPr="00BD0D85">
        <w:rPr>
          <w:rFonts w:ascii="標楷體" w:eastAsia="標楷體" w:hAnsi="標楷體"/>
          <w:color w:val="000000" w:themeColor="text1"/>
          <w:sz w:val="28"/>
          <w:szCs w:val="28"/>
        </w:rPr>
        <w:t>壹、申</w:t>
      </w:r>
      <w:r w:rsidRPr="00BD0D85">
        <w:rPr>
          <w:rFonts w:ascii="標楷體" w:eastAsia="標楷體" w:hAnsi="標楷體" w:hint="eastAsia"/>
          <w:color w:val="000000" w:themeColor="text1"/>
          <w:sz w:val="28"/>
          <w:szCs w:val="28"/>
        </w:rPr>
        <w:t>報</w:t>
      </w:r>
      <w:r w:rsidRPr="00BD0D85">
        <w:rPr>
          <w:rFonts w:ascii="標楷體" w:eastAsia="標楷體" w:hAnsi="標楷體"/>
          <w:color w:val="000000" w:themeColor="text1"/>
          <w:sz w:val="28"/>
          <w:szCs w:val="28"/>
        </w:rPr>
        <w:t>案件基本資料表</w:t>
      </w:r>
    </w:p>
    <w:tbl>
      <w:tblPr>
        <w:tblW w:w="13892" w:type="dxa"/>
        <w:tblLayout w:type="fixed"/>
        <w:tblCellMar>
          <w:left w:w="10" w:type="dxa"/>
          <w:right w:w="10" w:type="dxa"/>
        </w:tblCellMar>
        <w:tblLook w:val="04A0" w:firstRow="1" w:lastRow="0" w:firstColumn="1" w:lastColumn="0" w:noHBand="0" w:noVBand="1"/>
      </w:tblPr>
      <w:tblGrid>
        <w:gridCol w:w="2834"/>
        <w:gridCol w:w="2971"/>
        <w:gridCol w:w="2412"/>
        <w:gridCol w:w="3402"/>
        <w:gridCol w:w="2273"/>
      </w:tblGrid>
      <w:tr w:rsidR="00BD0D85" w:rsidRPr="00BD0D85" w:rsidTr="0093119D">
        <w:trPr>
          <w:trHeight w:val="142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3431" w:rsidRPr="00BD0D85" w:rsidRDefault="00623431" w:rsidP="00623431">
            <w:pPr>
              <w:spacing w:line="320" w:lineRule="exact"/>
              <w:ind w:left="57" w:right="57"/>
              <w:jc w:val="center"/>
              <w:rPr>
                <w:rFonts w:ascii="Times New Roman" w:eastAsia="標楷體" w:hAnsi="Times New Roman"/>
                <w:color w:val="000000" w:themeColor="text1"/>
                <w:kern w:val="0"/>
                <w:szCs w:val="24"/>
              </w:rPr>
            </w:pPr>
            <w:r w:rsidRPr="00BD0D85">
              <w:rPr>
                <w:rFonts w:ascii="Times New Roman" w:eastAsia="標楷體" w:hAnsi="Times New Roman"/>
                <w:color w:val="000000" w:themeColor="text1"/>
                <w:kern w:val="0"/>
                <w:szCs w:val="24"/>
              </w:rPr>
              <w:t>適用</w:t>
            </w:r>
            <w:r w:rsidRPr="00BD0D85">
              <w:rPr>
                <w:rFonts w:ascii="Times New Roman" w:eastAsia="標楷體" w:hAnsi="Times New Roman" w:hint="eastAsia"/>
                <w:color w:val="000000" w:themeColor="text1"/>
                <w:kern w:val="0"/>
                <w:szCs w:val="24"/>
              </w:rPr>
              <w:t>之</w:t>
            </w:r>
            <w:r w:rsidRPr="00BD0D85">
              <w:rPr>
                <w:rFonts w:ascii="Times New Roman" w:eastAsia="標楷體" w:hAnsi="Times New Roman"/>
                <w:color w:val="000000" w:themeColor="text1"/>
                <w:kern w:val="0"/>
                <w:szCs w:val="24"/>
              </w:rPr>
              <w:t>申</w:t>
            </w:r>
            <w:r w:rsidRPr="00BD0D85">
              <w:rPr>
                <w:rFonts w:ascii="Times New Roman" w:eastAsia="標楷體" w:hAnsi="Times New Roman" w:hint="eastAsia"/>
                <w:color w:val="000000" w:themeColor="text1"/>
                <w:kern w:val="0"/>
                <w:szCs w:val="24"/>
              </w:rPr>
              <w:t>報</w:t>
            </w:r>
            <w:r w:rsidRPr="00BD0D85">
              <w:rPr>
                <w:rFonts w:ascii="Times New Roman" w:eastAsia="標楷體" w:hAnsi="Times New Roman"/>
                <w:color w:val="000000" w:themeColor="text1"/>
                <w:kern w:val="0"/>
                <w:szCs w:val="24"/>
              </w:rPr>
              <w:t>制案件性質</w:t>
            </w:r>
          </w:p>
        </w:tc>
        <w:tc>
          <w:tcPr>
            <w:tcW w:w="5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3431" w:rsidRPr="00BD0D85" w:rsidRDefault="00623431" w:rsidP="00623431">
            <w:pPr>
              <w:spacing w:line="320" w:lineRule="exact"/>
              <w:ind w:left="1956" w:right="57" w:hangingChars="815" w:hanging="1956"/>
              <w:rPr>
                <w:rFonts w:ascii="Times New Roman" w:eastAsia="標楷體" w:hAnsi="Times New Roman"/>
                <w:color w:val="000000" w:themeColor="text1"/>
                <w:kern w:val="0"/>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kern w:val="0"/>
                <w:szCs w:val="24"/>
              </w:rPr>
              <w:t>7</w:t>
            </w:r>
            <w:r w:rsidRPr="00BD0D85">
              <w:rPr>
                <w:rFonts w:ascii="Times New Roman" w:eastAsia="標楷體" w:hAnsi="Times New Roman"/>
                <w:color w:val="000000" w:themeColor="text1"/>
                <w:kern w:val="0"/>
                <w:szCs w:val="24"/>
              </w:rPr>
              <w:t>日申報生效制</w:t>
            </w:r>
          </w:p>
          <w:p w:rsidR="00623431" w:rsidRPr="00BD0D85" w:rsidRDefault="00623431" w:rsidP="00623431">
            <w:pPr>
              <w:spacing w:line="320" w:lineRule="exact"/>
              <w:ind w:right="57"/>
              <w:rPr>
                <w:rFonts w:ascii="Times New Roman" w:eastAsia="標楷體" w:hAnsi="Times New Roman"/>
                <w:color w:val="000000" w:themeColor="text1"/>
                <w:kern w:val="0"/>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kern w:val="0"/>
                <w:szCs w:val="24"/>
              </w:rPr>
              <w:t>12</w:t>
            </w:r>
            <w:r w:rsidRPr="00BD0D85">
              <w:rPr>
                <w:rFonts w:ascii="Times New Roman" w:eastAsia="標楷體" w:hAnsi="Times New Roman" w:hint="eastAsia"/>
                <w:color w:val="000000" w:themeColor="text1"/>
                <w:kern w:val="0"/>
                <w:szCs w:val="24"/>
              </w:rPr>
              <w:t>日申報生效制</w:t>
            </w:r>
          </w:p>
          <w:p w:rsidR="00623431" w:rsidRPr="00BD0D85" w:rsidRDefault="00623431" w:rsidP="00623431">
            <w:pPr>
              <w:spacing w:line="320" w:lineRule="exact"/>
              <w:ind w:right="57"/>
              <w:rPr>
                <w:rFonts w:ascii="Times New Roman" w:eastAsia="標楷體" w:hAnsi="Times New Roman"/>
                <w:color w:val="000000" w:themeColor="text1"/>
                <w:kern w:val="0"/>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kern w:val="0"/>
                <w:szCs w:val="24"/>
              </w:rPr>
              <w:t>30</w:t>
            </w:r>
            <w:r w:rsidRPr="00BD0D85">
              <w:rPr>
                <w:rFonts w:ascii="Times New Roman" w:eastAsia="標楷體" w:hAnsi="Times New Roman"/>
                <w:color w:val="000000" w:themeColor="text1"/>
                <w:kern w:val="0"/>
                <w:szCs w:val="24"/>
              </w:rPr>
              <w:t>日申報生效制</w:t>
            </w:r>
          </w:p>
          <w:p w:rsidR="00623431" w:rsidRPr="00BD0D85" w:rsidRDefault="00623431" w:rsidP="00623431">
            <w:pPr>
              <w:spacing w:line="320" w:lineRule="exact"/>
              <w:ind w:right="57"/>
              <w:rPr>
                <w:rFonts w:ascii="Times New Roman" w:eastAsia="標楷體" w:hAnsi="Times New Roman"/>
                <w:color w:val="000000" w:themeColor="text1"/>
                <w:kern w:val="0"/>
                <w:szCs w:val="24"/>
              </w:rPr>
            </w:pPr>
            <w:r w:rsidRPr="00BD0D85">
              <w:rPr>
                <w:rFonts w:ascii="標楷體" w:eastAsia="標楷體" w:hAnsi="標楷體" w:hint="eastAsia"/>
                <w:color w:val="000000" w:themeColor="text1"/>
                <w:szCs w:val="24"/>
              </w:rPr>
              <w:t>□ESG主題基金</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3431" w:rsidRPr="00BD0D85" w:rsidRDefault="00623431" w:rsidP="00623431">
            <w:pPr>
              <w:spacing w:line="320" w:lineRule="exact"/>
              <w:ind w:left="57" w:right="57"/>
              <w:jc w:val="center"/>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預計向主管機關</w:t>
            </w:r>
          </w:p>
          <w:p w:rsidR="00623431" w:rsidRPr="00BD0D85" w:rsidRDefault="00623431" w:rsidP="00623431">
            <w:pPr>
              <w:spacing w:line="320" w:lineRule="exact"/>
              <w:ind w:left="113" w:right="113"/>
              <w:jc w:val="center"/>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申</w:t>
            </w:r>
            <w:r w:rsidRPr="00BD0D85">
              <w:rPr>
                <w:rFonts w:ascii="Times New Roman" w:eastAsia="標楷體" w:hAnsi="Times New Roman" w:hint="eastAsia"/>
                <w:color w:val="000000" w:themeColor="text1"/>
                <w:szCs w:val="24"/>
              </w:rPr>
              <w:t>報</w:t>
            </w:r>
            <w:r w:rsidRPr="00BD0D85">
              <w:rPr>
                <w:rFonts w:ascii="Times New Roman" w:eastAsia="標楷體" w:hAnsi="Times New Roman"/>
                <w:color w:val="000000" w:themeColor="text1"/>
                <w:szCs w:val="24"/>
              </w:rPr>
              <w:t>日期</w:t>
            </w:r>
          </w:p>
          <w:p w:rsidR="00623431" w:rsidRPr="00BD0D85" w:rsidRDefault="00623431" w:rsidP="00623431">
            <w:pPr>
              <w:spacing w:line="320" w:lineRule="exact"/>
              <w:ind w:left="113" w:right="113"/>
              <w:jc w:val="center"/>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w:t>
            </w:r>
            <w:r w:rsidR="0083347A" w:rsidRPr="00BD0D85">
              <w:rPr>
                <w:rFonts w:ascii="Times New Roman" w:eastAsia="標楷體" w:hAnsi="Times New Roman" w:hint="eastAsia"/>
                <w:color w:val="000000" w:themeColor="text1"/>
                <w:szCs w:val="24"/>
              </w:rPr>
              <w:t>事前</w:t>
            </w:r>
            <w:r w:rsidRPr="00BD0D85">
              <w:rPr>
                <w:rFonts w:ascii="Times New Roman" w:eastAsia="標楷體" w:hAnsi="Times New Roman" w:hint="eastAsia"/>
                <w:color w:val="000000" w:themeColor="text1"/>
                <w:szCs w:val="24"/>
              </w:rPr>
              <w:t>審查適用</w:t>
            </w:r>
            <w:r w:rsidR="00960451" w:rsidRPr="00BD0D85">
              <w:rPr>
                <w:rFonts w:ascii="Times New Roman" w:eastAsia="標楷體" w:hAnsi="Times New Roman" w:hint="eastAsia"/>
                <w:color w:val="000000" w:themeColor="text1"/>
                <w:szCs w:val="24"/>
              </w:rPr>
              <w:t>，並請於該日之三個營業日前函送</w:t>
            </w:r>
            <w:r w:rsidR="0085418E" w:rsidRPr="00BD0D85">
              <w:rPr>
                <w:rFonts w:ascii="Times New Roman" w:eastAsia="標楷體" w:hAnsi="Times New Roman" w:hint="eastAsia"/>
                <w:color w:val="000000" w:themeColor="text1"/>
                <w:szCs w:val="24"/>
              </w:rPr>
              <w:t>本公司</w:t>
            </w:r>
            <w:r w:rsidRPr="00BD0D85">
              <w:rPr>
                <w:rFonts w:ascii="Times New Roman" w:eastAsia="標楷體" w:hAnsi="Times New Roman" w:hint="eastAsia"/>
                <w:color w:val="000000" w:themeColor="text1"/>
                <w:szCs w:val="24"/>
              </w:rPr>
              <w:t>)</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3431" w:rsidRPr="00BD0D85" w:rsidRDefault="00623431" w:rsidP="00623431">
            <w:pPr>
              <w:spacing w:line="320" w:lineRule="exact"/>
              <w:rPr>
                <w:color w:val="000000" w:themeColor="text1"/>
              </w:rPr>
            </w:pPr>
            <w:r w:rsidRPr="00BD0D85">
              <w:rPr>
                <w:rFonts w:ascii="Times New Roman" w:eastAsia="標楷體" w:hAnsi="Times New Roman"/>
                <w:bCs/>
                <w:color w:val="000000" w:themeColor="text1"/>
                <w:szCs w:val="24"/>
              </w:rPr>
              <w:t xml:space="preserve">           </w:t>
            </w:r>
            <w:r w:rsidRPr="00BD0D85">
              <w:rPr>
                <w:rFonts w:ascii="Times New Roman" w:eastAsia="標楷體" w:hAnsi="Times New Roman"/>
                <w:bCs/>
                <w:color w:val="000000" w:themeColor="text1"/>
                <w:szCs w:val="24"/>
              </w:rPr>
              <w:t>年</w:t>
            </w:r>
            <w:r w:rsidRPr="00BD0D85">
              <w:rPr>
                <w:rFonts w:ascii="Times New Roman" w:eastAsia="標楷體" w:hAnsi="Times New Roman"/>
                <w:bCs/>
                <w:color w:val="000000" w:themeColor="text1"/>
                <w:szCs w:val="24"/>
              </w:rPr>
              <w:t xml:space="preserve">   </w:t>
            </w:r>
            <w:r w:rsidRPr="00BD0D85">
              <w:rPr>
                <w:rFonts w:ascii="Times New Roman" w:eastAsia="標楷體" w:hAnsi="Times New Roman"/>
                <w:bCs/>
                <w:color w:val="000000" w:themeColor="text1"/>
                <w:szCs w:val="24"/>
              </w:rPr>
              <w:t>月</w:t>
            </w:r>
            <w:r w:rsidRPr="00BD0D85">
              <w:rPr>
                <w:rFonts w:ascii="Times New Roman" w:eastAsia="標楷體" w:hAnsi="Times New Roman"/>
                <w:bCs/>
                <w:color w:val="000000" w:themeColor="text1"/>
                <w:szCs w:val="24"/>
              </w:rPr>
              <w:t xml:space="preserve">   </w:t>
            </w:r>
            <w:r w:rsidRPr="00BD0D85">
              <w:rPr>
                <w:rFonts w:ascii="Times New Roman" w:eastAsia="標楷體" w:hAnsi="Times New Roman"/>
                <w:bCs/>
                <w:color w:val="000000" w:themeColor="text1"/>
                <w:szCs w:val="24"/>
              </w:rPr>
              <w:t>日</w:t>
            </w:r>
          </w:p>
        </w:tc>
      </w:tr>
      <w:tr w:rsidR="00BD0D85" w:rsidRPr="00BD0D85" w:rsidTr="005B243B">
        <w:trPr>
          <w:trHeight w:val="73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EB5312">
            <w:pPr>
              <w:spacing w:line="360" w:lineRule="exact"/>
              <w:ind w:left="113" w:right="113"/>
              <w:jc w:val="center"/>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證券投資信託事業</w:t>
            </w:r>
            <w:r w:rsidR="00593338" w:rsidRPr="00BD0D85">
              <w:rPr>
                <w:rFonts w:ascii="Times New Roman" w:eastAsia="標楷體" w:hAnsi="Times New Roman"/>
                <w:color w:val="000000" w:themeColor="text1"/>
                <w:szCs w:val="24"/>
              </w:rPr>
              <w:t>名稱</w:t>
            </w:r>
          </w:p>
        </w:tc>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BB2861">
            <w:pPr>
              <w:spacing w:line="360" w:lineRule="exact"/>
              <w:ind w:left="57" w:right="57"/>
              <w:rPr>
                <w:rFonts w:ascii="Times New Roman" w:eastAsia="標楷體" w:hAnsi="Times New Roman"/>
                <w:b/>
                <w:bCs/>
                <w:color w:val="000000" w:themeColor="text1"/>
                <w:szCs w:val="24"/>
              </w:rPr>
            </w:pPr>
          </w:p>
        </w:tc>
      </w:tr>
      <w:tr w:rsidR="00BD0D85" w:rsidRPr="00BD0D85" w:rsidTr="005B243B">
        <w:trPr>
          <w:trHeight w:val="73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593338">
            <w:pPr>
              <w:spacing w:line="360" w:lineRule="exact"/>
              <w:ind w:left="113" w:right="113"/>
              <w:jc w:val="center"/>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基金名稱</w:t>
            </w:r>
          </w:p>
        </w:tc>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BB2861">
            <w:pPr>
              <w:spacing w:line="360" w:lineRule="exact"/>
              <w:ind w:left="57" w:right="57"/>
              <w:rPr>
                <w:rFonts w:ascii="Times New Roman" w:eastAsia="標楷體" w:hAnsi="Times New Roman"/>
                <w:b/>
                <w:bCs/>
                <w:color w:val="000000" w:themeColor="text1"/>
                <w:szCs w:val="24"/>
              </w:rPr>
            </w:pPr>
          </w:p>
        </w:tc>
      </w:tr>
      <w:tr w:rsidR="00BD0D85" w:rsidRPr="00BD0D85" w:rsidTr="005B243B">
        <w:trPr>
          <w:trHeight w:val="73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1F1230">
            <w:pPr>
              <w:spacing w:line="360" w:lineRule="exact"/>
              <w:ind w:left="113" w:right="113"/>
              <w:jc w:val="center"/>
              <w:rPr>
                <w:color w:val="000000" w:themeColor="text1"/>
              </w:rPr>
            </w:pPr>
            <w:r w:rsidRPr="00BD0D85">
              <w:rPr>
                <w:rFonts w:ascii="Times New Roman" w:eastAsia="標楷體" w:hAnsi="Times New Roman" w:hint="eastAsia"/>
                <w:bCs/>
                <w:color w:val="000000" w:themeColor="text1"/>
                <w:szCs w:val="24"/>
              </w:rPr>
              <w:t>基金類型</w:t>
            </w:r>
          </w:p>
        </w:tc>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BB2861">
            <w:pPr>
              <w:spacing w:line="360" w:lineRule="exact"/>
              <w:ind w:left="57" w:right="57"/>
              <w:rPr>
                <w:rFonts w:ascii="Times New Roman" w:eastAsia="標楷體" w:hAnsi="Times New Roman"/>
                <w:bCs/>
                <w:color w:val="000000" w:themeColor="text1"/>
                <w:szCs w:val="24"/>
              </w:rPr>
            </w:pPr>
          </w:p>
        </w:tc>
      </w:tr>
      <w:tr w:rsidR="00BD0D85" w:rsidRPr="00BD0D85" w:rsidTr="005B243B">
        <w:trPr>
          <w:trHeight w:val="73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196" w:rsidRPr="00BD0D85" w:rsidRDefault="00623431" w:rsidP="00E30196">
            <w:pPr>
              <w:spacing w:line="360" w:lineRule="exact"/>
              <w:ind w:left="113" w:right="113"/>
              <w:jc w:val="center"/>
              <w:rPr>
                <w:rFonts w:ascii="Times New Roman" w:eastAsia="標楷體" w:hAnsi="Times New Roman"/>
                <w:bCs/>
                <w:color w:val="000000" w:themeColor="text1"/>
                <w:szCs w:val="24"/>
              </w:rPr>
            </w:pPr>
            <w:r w:rsidRPr="00BD0D85">
              <w:rPr>
                <w:rFonts w:ascii="Times New Roman" w:eastAsia="標楷體" w:hAnsi="Times New Roman" w:hint="eastAsia"/>
                <w:bCs/>
                <w:color w:val="000000" w:themeColor="text1"/>
                <w:szCs w:val="24"/>
              </w:rPr>
              <w:t>計價幣別及募集金額</w:t>
            </w:r>
          </w:p>
        </w:tc>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3431" w:rsidRPr="00BD0D85" w:rsidRDefault="00623431" w:rsidP="00D3751D">
            <w:pPr>
              <w:spacing w:line="360" w:lineRule="exact"/>
              <w:ind w:left="57" w:right="57"/>
              <w:rPr>
                <w:rFonts w:ascii="Times New Roman" w:eastAsia="標楷體" w:hAnsi="Times New Roman"/>
                <w:bCs/>
                <w:color w:val="000000" w:themeColor="text1"/>
                <w:szCs w:val="24"/>
                <w:highlight w:val="yellow"/>
              </w:rPr>
            </w:pPr>
          </w:p>
        </w:tc>
      </w:tr>
      <w:tr w:rsidR="00BD0D85" w:rsidRPr="00BD0D85" w:rsidTr="005B243B">
        <w:trPr>
          <w:trHeight w:val="73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1230" w:rsidRPr="00BD0D85" w:rsidRDefault="001F1230">
            <w:pPr>
              <w:spacing w:line="360" w:lineRule="exact"/>
              <w:ind w:left="113" w:right="113"/>
              <w:jc w:val="center"/>
              <w:rPr>
                <w:rFonts w:ascii="Times New Roman" w:eastAsia="標楷體" w:hAnsi="Times New Roman"/>
                <w:bCs/>
                <w:color w:val="000000" w:themeColor="text1"/>
                <w:szCs w:val="24"/>
              </w:rPr>
            </w:pPr>
            <w:r w:rsidRPr="00BD0D85">
              <w:rPr>
                <w:rFonts w:ascii="Times New Roman" w:eastAsia="標楷體" w:hAnsi="Times New Roman"/>
                <w:bCs/>
                <w:color w:val="000000" w:themeColor="text1"/>
                <w:szCs w:val="24"/>
              </w:rPr>
              <w:t>保管機構</w:t>
            </w:r>
          </w:p>
        </w:tc>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1230" w:rsidRPr="00BD0D85" w:rsidRDefault="001F1230">
            <w:pPr>
              <w:spacing w:line="360" w:lineRule="exact"/>
              <w:ind w:left="57" w:right="57"/>
              <w:rPr>
                <w:rFonts w:ascii="Times New Roman" w:eastAsia="標楷體" w:hAnsi="Times New Roman"/>
                <w:bCs/>
                <w:color w:val="000000" w:themeColor="text1"/>
                <w:szCs w:val="24"/>
              </w:rPr>
            </w:pPr>
          </w:p>
        </w:tc>
      </w:tr>
      <w:tr w:rsidR="00BD0D85" w:rsidRPr="00BD0D85" w:rsidTr="005B243B">
        <w:trPr>
          <w:trHeight w:val="73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593338">
            <w:pPr>
              <w:spacing w:line="360" w:lineRule="exact"/>
              <w:ind w:left="113" w:right="113"/>
              <w:jc w:val="center"/>
              <w:rPr>
                <w:rFonts w:ascii="Times New Roman" w:eastAsia="標楷體" w:hAnsi="Times New Roman"/>
                <w:bCs/>
                <w:color w:val="000000" w:themeColor="text1"/>
                <w:szCs w:val="24"/>
              </w:rPr>
            </w:pPr>
            <w:r w:rsidRPr="00BD0D85">
              <w:rPr>
                <w:rFonts w:ascii="Times New Roman" w:eastAsia="標楷體" w:hAnsi="Times New Roman"/>
                <w:bCs/>
                <w:color w:val="000000" w:themeColor="text1"/>
                <w:szCs w:val="24"/>
              </w:rPr>
              <w:t>國外受託保管機構</w:t>
            </w:r>
          </w:p>
        </w:tc>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BB2861">
            <w:pPr>
              <w:spacing w:line="320" w:lineRule="exact"/>
              <w:ind w:left="57" w:right="57"/>
              <w:rPr>
                <w:rFonts w:ascii="Times New Roman" w:eastAsia="標楷體" w:hAnsi="Times New Roman"/>
                <w:bCs/>
                <w:color w:val="000000" w:themeColor="text1"/>
                <w:szCs w:val="24"/>
              </w:rPr>
            </w:pPr>
          </w:p>
        </w:tc>
      </w:tr>
      <w:tr w:rsidR="00BD0D85" w:rsidRPr="00BD0D85" w:rsidTr="005B243B">
        <w:trPr>
          <w:trHeight w:val="73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593338">
            <w:pPr>
              <w:spacing w:line="320" w:lineRule="exact"/>
              <w:ind w:left="57" w:right="57"/>
              <w:jc w:val="center"/>
              <w:rPr>
                <w:rFonts w:ascii="Times New Roman" w:eastAsia="標楷體" w:hAnsi="Times New Roman"/>
                <w:bCs/>
                <w:color w:val="000000" w:themeColor="text1"/>
                <w:szCs w:val="24"/>
              </w:rPr>
            </w:pPr>
            <w:r w:rsidRPr="00BD0D85">
              <w:rPr>
                <w:rFonts w:ascii="Times New Roman" w:eastAsia="標楷體" w:hAnsi="Times New Roman"/>
                <w:bCs/>
                <w:color w:val="000000" w:themeColor="text1"/>
                <w:szCs w:val="24"/>
              </w:rPr>
              <w:t>是否得投資國外</w:t>
            </w:r>
          </w:p>
        </w:tc>
        <w:tc>
          <w:tcPr>
            <w:tcW w:w="11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2861" w:rsidRPr="00BD0D85" w:rsidRDefault="00396FF5">
            <w:pPr>
              <w:spacing w:line="320" w:lineRule="exact"/>
              <w:ind w:left="57" w:right="57"/>
              <w:rPr>
                <w:rFonts w:ascii="Times New Roman" w:eastAsia="標楷體" w:hAnsi="Times New Roman"/>
                <w:bCs/>
                <w:color w:val="000000" w:themeColor="text1"/>
                <w:szCs w:val="24"/>
              </w:rPr>
            </w:pPr>
            <w:r w:rsidRPr="00BD0D85">
              <w:rPr>
                <w:rFonts w:ascii="標楷體" w:eastAsia="標楷體" w:hAnsi="標楷體" w:hint="eastAsia"/>
                <w:color w:val="000000" w:themeColor="text1"/>
                <w:szCs w:val="24"/>
              </w:rPr>
              <w:t>□</w:t>
            </w:r>
            <w:r w:rsidR="00593338" w:rsidRPr="00BD0D85">
              <w:rPr>
                <w:rFonts w:ascii="Times New Roman" w:eastAsia="標楷體" w:hAnsi="Times New Roman"/>
                <w:bCs/>
                <w:color w:val="000000" w:themeColor="text1"/>
                <w:szCs w:val="24"/>
              </w:rPr>
              <w:t>是</w:t>
            </w:r>
            <w:r w:rsidR="00593338" w:rsidRPr="00BD0D85">
              <w:rPr>
                <w:rFonts w:ascii="Times New Roman" w:eastAsia="標楷體" w:hAnsi="Times New Roman"/>
                <w:bCs/>
                <w:color w:val="000000" w:themeColor="text1"/>
                <w:szCs w:val="24"/>
              </w:rPr>
              <w:t xml:space="preserve">  </w:t>
            </w:r>
            <w:proofErr w:type="gramStart"/>
            <w:r w:rsidRPr="00BD0D85">
              <w:rPr>
                <w:rFonts w:ascii="標楷體" w:eastAsia="標楷體" w:hAnsi="標楷體" w:hint="eastAsia"/>
                <w:color w:val="000000" w:themeColor="text1"/>
                <w:szCs w:val="24"/>
              </w:rPr>
              <w:t>□</w:t>
            </w:r>
            <w:r w:rsidR="00593338" w:rsidRPr="00BD0D85">
              <w:rPr>
                <w:rFonts w:ascii="Times New Roman" w:eastAsia="標楷體" w:hAnsi="Times New Roman"/>
                <w:bCs/>
                <w:color w:val="000000" w:themeColor="text1"/>
                <w:szCs w:val="24"/>
              </w:rPr>
              <w:t>否</w:t>
            </w:r>
            <w:proofErr w:type="gramEnd"/>
          </w:p>
        </w:tc>
      </w:tr>
      <w:tr w:rsidR="00BD0D85" w:rsidRPr="00BD0D85" w:rsidTr="005B243B">
        <w:trPr>
          <w:trHeight w:val="73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419F" w:rsidRPr="00BD0D85" w:rsidRDefault="0065419F">
            <w:pPr>
              <w:spacing w:line="320" w:lineRule="exact"/>
              <w:ind w:left="57" w:right="57"/>
              <w:jc w:val="center"/>
              <w:rPr>
                <w:rFonts w:ascii="Times New Roman" w:eastAsia="標楷體" w:hAnsi="Times New Roman"/>
                <w:bCs/>
                <w:color w:val="000000" w:themeColor="text1"/>
                <w:szCs w:val="24"/>
              </w:rPr>
            </w:pPr>
            <w:r w:rsidRPr="00BD0D85">
              <w:rPr>
                <w:rFonts w:ascii="Times New Roman" w:eastAsia="標楷體" w:hAnsi="Times New Roman" w:hint="eastAsia"/>
                <w:bCs/>
                <w:color w:val="000000" w:themeColor="text1"/>
                <w:szCs w:val="24"/>
              </w:rPr>
              <w:t>是否有國外投資顧問公司</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419F" w:rsidRPr="00BD0D85" w:rsidRDefault="00396FF5">
            <w:pPr>
              <w:spacing w:line="320" w:lineRule="exact"/>
              <w:ind w:left="57" w:right="57"/>
              <w:rPr>
                <w:rFonts w:ascii="Times New Roman" w:eastAsia="標楷體" w:hAnsi="Times New Roman"/>
                <w:bCs/>
                <w:color w:val="000000" w:themeColor="text1"/>
                <w:szCs w:val="24"/>
              </w:rPr>
            </w:pPr>
            <w:r w:rsidRPr="00BD0D85">
              <w:rPr>
                <w:rFonts w:ascii="標楷體" w:eastAsia="標楷體" w:hAnsi="標楷體" w:hint="eastAsia"/>
                <w:color w:val="000000" w:themeColor="text1"/>
                <w:szCs w:val="24"/>
              </w:rPr>
              <w:t>□</w:t>
            </w:r>
            <w:r w:rsidR="0065419F" w:rsidRPr="00BD0D85">
              <w:rPr>
                <w:rFonts w:ascii="Times New Roman" w:eastAsia="標楷體" w:hAnsi="Times New Roman" w:hint="eastAsia"/>
                <w:bCs/>
                <w:color w:val="000000" w:themeColor="text1"/>
                <w:szCs w:val="24"/>
              </w:rPr>
              <w:t>是</w:t>
            </w:r>
            <w:r w:rsidR="0065419F" w:rsidRPr="00BD0D85">
              <w:rPr>
                <w:rFonts w:ascii="Times New Roman" w:eastAsia="標楷體" w:hAnsi="Times New Roman"/>
                <w:bCs/>
                <w:color w:val="000000" w:themeColor="text1"/>
                <w:szCs w:val="24"/>
              </w:rPr>
              <w:t xml:space="preserve">  </w:t>
            </w:r>
            <w:proofErr w:type="gramStart"/>
            <w:r w:rsidRPr="00BD0D85">
              <w:rPr>
                <w:rFonts w:ascii="標楷體" w:eastAsia="標楷體" w:hAnsi="標楷體" w:hint="eastAsia"/>
                <w:color w:val="000000" w:themeColor="text1"/>
                <w:szCs w:val="24"/>
              </w:rPr>
              <w:t>□</w:t>
            </w:r>
            <w:r w:rsidR="0065419F" w:rsidRPr="00BD0D85">
              <w:rPr>
                <w:rFonts w:ascii="Times New Roman" w:eastAsia="標楷體" w:hAnsi="Times New Roman" w:hint="eastAsia"/>
                <w:bCs/>
                <w:color w:val="000000" w:themeColor="text1"/>
                <w:szCs w:val="24"/>
              </w:rPr>
              <w:t>否</w:t>
            </w:r>
            <w:proofErr w:type="gramEnd"/>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FA7" w:rsidRPr="00BD0D85" w:rsidRDefault="0065419F" w:rsidP="00630F6C">
            <w:pPr>
              <w:spacing w:line="320" w:lineRule="exact"/>
              <w:ind w:left="57" w:right="57"/>
              <w:jc w:val="distribute"/>
              <w:rPr>
                <w:rFonts w:ascii="Times New Roman" w:eastAsia="標楷體" w:hAnsi="Times New Roman"/>
                <w:bCs/>
                <w:color w:val="000000" w:themeColor="text1"/>
                <w:szCs w:val="24"/>
              </w:rPr>
            </w:pPr>
            <w:r w:rsidRPr="00BD0D85">
              <w:rPr>
                <w:rFonts w:ascii="Times New Roman" w:eastAsia="標楷體" w:hAnsi="Times New Roman" w:hint="eastAsia"/>
                <w:bCs/>
                <w:color w:val="000000" w:themeColor="text1"/>
                <w:szCs w:val="24"/>
              </w:rPr>
              <w:t>國外投資顧問公司</w:t>
            </w:r>
          </w:p>
          <w:p w:rsidR="0065419F" w:rsidRPr="00BD0D85" w:rsidRDefault="00DA1FA7" w:rsidP="00630F6C">
            <w:pPr>
              <w:spacing w:line="320" w:lineRule="exact"/>
              <w:ind w:left="57" w:right="57"/>
              <w:jc w:val="distribute"/>
              <w:rPr>
                <w:rFonts w:ascii="Times New Roman" w:eastAsia="標楷體" w:hAnsi="Times New Roman"/>
                <w:bCs/>
                <w:color w:val="000000" w:themeColor="text1"/>
                <w:szCs w:val="24"/>
              </w:rPr>
            </w:pPr>
            <w:r w:rsidRPr="00BD0D85">
              <w:rPr>
                <w:rFonts w:ascii="Times New Roman" w:eastAsia="標楷體" w:hAnsi="Times New Roman" w:hint="eastAsia"/>
                <w:bCs/>
                <w:color w:val="000000" w:themeColor="text1"/>
                <w:szCs w:val="24"/>
              </w:rPr>
              <w:t>中英文</w:t>
            </w:r>
            <w:r w:rsidR="0065419F" w:rsidRPr="00BD0D85">
              <w:rPr>
                <w:rFonts w:ascii="Times New Roman" w:eastAsia="標楷體" w:hAnsi="Times New Roman" w:hint="eastAsia"/>
                <w:bCs/>
                <w:color w:val="000000" w:themeColor="text1"/>
                <w:szCs w:val="24"/>
              </w:rPr>
              <w:t>名稱</w:t>
            </w:r>
          </w:p>
        </w:tc>
        <w:tc>
          <w:tcPr>
            <w:tcW w:w="5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419F" w:rsidRPr="00BD0D85" w:rsidRDefault="0065419F">
            <w:pPr>
              <w:spacing w:line="320" w:lineRule="exact"/>
              <w:ind w:left="57" w:right="57"/>
              <w:rPr>
                <w:rFonts w:ascii="Times New Roman" w:eastAsia="標楷體" w:hAnsi="Times New Roman"/>
                <w:bCs/>
                <w:color w:val="000000" w:themeColor="text1"/>
                <w:szCs w:val="24"/>
                <w:highlight w:val="yellow"/>
              </w:rPr>
            </w:pPr>
          </w:p>
        </w:tc>
      </w:tr>
    </w:tbl>
    <w:p w:rsidR="008268FB" w:rsidRPr="00BD0D85" w:rsidRDefault="008268FB">
      <w:pPr>
        <w:widowControl/>
        <w:suppressAutoHyphens w:val="0"/>
        <w:rPr>
          <w:rFonts w:ascii="Times New Roman" w:eastAsia="標楷體" w:hAnsi="Times New Roman"/>
          <w:color w:val="000000" w:themeColor="text1"/>
          <w:szCs w:val="28"/>
        </w:rPr>
      </w:pPr>
      <w:r w:rsidRPr="00BD0D85">
        <w:rPr>
          <w:rFonts w:ascii="Times New Roman" w:eastAsia="標楷體" w:hAnsi="Times New Roman"/>
          <w:color w:val="000000" w:themeColor="text1"/>
          <w:szCs w:val="28"/>
        </w:rPr>
        <w:br w:type="page"/>
      </w:r>
    </w:p>
    <w:p w:rsidR="00BF65BE" w:rsidRPr="00BD0D85" w:rsidRDefault="00593338" w:rsidP="006E23A3">
      <w:pPr>
        <w:pStyle w:val="1"/>
        <w:spacing w:before="0" w:after="0" w:line="240" w:lineRule="auto"/>
        <w:rPr>
          <w:rFonts w:ascii="標楷體" w:eastAsia="標楷體" w:hAnsi="標楷體"/>
          <w:color w:val="000000" w:themeColor="text1"/>
          <w:sz w:val="28"/>
          <w:szCs w:val="28"/>
        </w:rPr>
      </w:pPr>
      <w:bookmarkStart w:id="3" w:name="_貳、追加募集案件之檢查事項與說明"/>
      <w:bookmarkEnd w:id="3"/>
      <w:r w:rsidRPr="00BD0D85">
        <w:rPr>
          <w:rFonts w:ascii="標楷體" w:eastAsia="標楷體" w:hAnsi="標楷體"/>
          <w:color w:val="000000" w:themeColor="text1"/>
          <w:sz w:val="28"/>
          <w:szCs w:val="28"/>
        </w:rPr>
        <w:lastRenderedPageBreak/>
        <w:t>貳、</w:t>
      </w:r>
      <w:r w:rsidR="00BF65BE" w:rsidRPr="00BD0D85">
        <w:rPr>
          <w:rFonts w:ascii="標楷體" w:eastAsia="標楷體" w:hAnsi="標楷體" w:hint="eastAsia"/>
          <w:color w:val="000000" w:themeColor="text1"/>
          <w:sz w:val="28"/>
          <w:szCs w:val="28"/>
        </w:rPr>
        <w:t>追</w:t>
      </w:r>
      <w:r w:rsidR="00D17393" w:rsidRPr="00BD0D85">
        <w:rPr>
          <w:rFonts w:ascii="標楷體" w:eastAsia="標楷體" w:hAnsi="標楷體" w:hint="eastAsia"/>
          <w:color w:val="000000" w:themeColor="text1"/>
          <w:sz w:val="28"/>
          <w:szCs w:val="28"/>
        </w:rPr>
        <w:t>加</w:t>
      </w:r>
      <w:r w:rsidR="00BF65BE" w:rsidRPr="00BD0D85">
        <w:rPr>
          <w:rFonts w:ascii="標楷體" w:eastAsia="標楷體" w:hAnsi="標楷體" w:hint="eastAsia"/>
          <w:color w:val="000000" w:themeColor="text1"/>
          <w:sz w:val="28"/>
          <w:szCs w:val="28"/>
        </w:rPr>
        <w:t>募</w:t>
      </w:r>
      <w:r w:rsidR="00D17393" w:rsidRPr="00BD0D85">
        <w:rPr>
          <w:rFonts w:ascii="標楷體" w:eastAsia="標楷體" w:hAnsi="標楷體" w:hint="eastAsia"/>
          <w:color w:val="000000" w:themeColor="text1"/>
          <w:sz w:val="28"/>
          <w:szCs w:val="28"/>
        </w:rPr>
        <w:t>集</w:t>
      </w:r>
      <w:r w:rsidR="00BF65BE" w:rsidRPr="00BD0D85">
        <w:rPr>
          <w:rFonts w:ascii="標楷體" w:eastAsia="標楷體" w:hAnsi="標楷體" w:hint="eastAsia"/>
          <w:color w:val="000000" w:themeColor="text1"/>
          <w:sz w:val="28"/>
          <w:szCs w:val="28"/>
        </w:rPr>
        <w:t>案件之</w:t>
      </w:r>
      <w:r w:rsidR="00BF65BE" w:rsidRPr="00BD0D85">
        <w:rPr>
          <w:rFonts w:ascii="標楷體" w:eastAsia="標楷體" w:hAnsi="標楷體"/>
          <w:color w:val="000000" w:themeColor="text1"/>
          <w:sz w:val="28"/>
          <w:szCs w:val="28"/>
        </w:rPr>
        <w:t>檢查事項與說明</w:t>
      </w:r>
    </w:p>
    <w:tbl>
      <w:tblPr>
        <w:tblW w:w="5270" w:type="pct"/>
        <w:jc w:val="center"/>
        <w:tblCellMar>
          <w:left w:w="10" w:type="dxa"/>
          <w:right w:w="10" w:type="dxa"/>
        </w:tblCellMar>
        <w:tblLook w:val="04A0" w:firstRow="1" w:lastRow="0" w:firstColumn="1" w:lastColumn="0" w:noHBand="0" w:noVBand="1"/>
      </w:tblPr>
      <w:tblGrid>
        <w:gridCol w:w="2694"/>
        <w:gridCol w:w="1135"/>
        <w:gridCol w:w="8926"/>
        <w:gridCol w:w="1946"/>
      </w:tblGrid>
      <w:tr w:rsidR="00BD0D85" w:rsidRPr="00BD0D85" w:rsidTr="002466C4">
        <w:trPr>
          <w:trHeight w:hRule="exact" w:val="567"/>
          <w:tblHeade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1C73" w:rsidRPr="00BD0D85" w:rsidRDefault="00D51C73" w:rsidP="002466C4">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檢查事項</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1C73" w:rsidRPr="00BD0D85" w:rsidRDefault="00D51C73" w:rsidP="002466C4">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結論</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1C73" w:rsidRPr="00BD0D85" w:rsidRDefault="00D51C73" w:rsidP="002466C4">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hint="eastAsia"/>
                <w:b/>
                <w:color w:val="000000" w:themeColor="text1"/>
                <w:sz w:val="28"/>
                <w:szCs w:val="28"/>
              </w:rPr>
              <w:t>證</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券</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投</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資</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信</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託</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事</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業</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說</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明</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1C73" w:rsidRPr="00BD0D85" w:rsidRDefault="00D51C73" w:rsidP="002466C4">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附件索引</w:t>
            </w:r>
          </w:p>
        </w:tc>
      </w:tr>
      <w:tr w:rsidR="00BD0D85" w:rsidRPr="00BD0D85" w:rsidTr="00FF01DD">
        <w:trPr>
          <w:trHeight w:val="2864"/>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51C73" w:rsidRPr="00BD0D85" w:rsidRDefault="00D51C73" w:rsidP="00D51C73">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b/>
                <w:color w:val="000000" w:themeColor="text1"/>
                <w:szCs w:val="24"/>
              </w:rPr>
              <w:t>基金辦理追加募集</w:t>
            </w:r>
            <w:r w:rsidR="0015168A" w:rsidRPr="00BD0D85">
              <w:rPr>
                <w:rFonts w:ascii="Times New Roman" w:eastAsia="標楷體" w:hAnsi="Times New Roman" w:hint="eastAsia"/>
                <w:b/>
                <w:color w:val="000000" w:themeColor="text1"/>
                <w:szCs w:val="24"/>
              </w:rPr>
              <w:t>之</w:t>
            </w:r>
            <w:r w:rsidRPr="00BD0D85">
              <w:rPr>
                <w:rFonts w:ascii="Times New Roman" w:eastAsia="標楷體" w:hAnsi="Times New Roman" w:hint="eastAsia"/>
                <w:b/>
                <w:color w:val="000000" w:themeColor="text1"/>
                <w:szCs w:val="24"/>
              </w:rPr>
              <w:t>應說明事項是否完整。</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51C73" w:rsidRPr="00BD0D85" w:rsidRDefault="00D51C73" w:rsidP="00D51C73">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D51C73" w:rsidRPr="00BD0D85" w:rsidRDefault="00D51C73" w:rsidP="00D51C73">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
          <w:p w:rsidR="00D51C73" w:rsidRPr="00BD0D85" w:rsidRDefault="00D51C73" w:rsidP="00D51C73">
            <w:pPr>
              <w:widowControl/>
              <w:spacing w:line="320" w:lineRule="exact"/>
              <w:rPr>
                <w:color w:val="000000" w:themeColor="text1"/>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C73" w:rsidRPr="00BD0D85" w:rsidRDefault="00D51C73" w:rsidP="002466C4">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w:t>
            </w:r>
            <w:r w:rsidRPr="00BD0D85">
              <w:rPr>
                <w:rFonts w:ascii="Times New Roman" w:eastAsia="標楷體" w:hAnsi="Times New Roman"/>
                <w:color w:val="000000" w:themeColor="text1"/>
                <w:szCs w:val="24"/>
              </w:rPr>
              <w:t>、投資標的</w:t>
            </w:r>
            <w:r w:rsidRPr="00BD0D85">
              <w:rPr>
                <w:rFonts w:ascii="Times New Roman" w:eastAsia="標楷體" w:hAnsi="Times New Roman" w:hint="eastAsia"/>
                <w:color w:val="000000" w:themeColor="text1"/>
                <w:szCs w:val="24"/>
              </w:rPr>
              <w:t>及範圍</w:t>
            </w:r>
            <w:r w:rsidRPr="00BD0D85">
              <w:rPr>
                <w:rFonts w:ascii="Times New Roman" w:eastAsia="標楷體" w:hAnsi="Times New Roman"/>
                <w:color w:val="000000" w:themeColor="text1"/>
                <w:szCs w:val="24"/>
              </w:rPr>
              <w:t>。</w:t>
            </w:r>
          </w:p>
          <w:p w:rsidR="00D51C73" w:rsidRPr="00BD0D85" w:rsidRDefault="00D51C73" w:rsidP="002466C4">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投資比例及方針。</w:t>
            </w:r>
          </w:p>
          <w:p w:rsidR="00D51C73" w:rsidRPr="00BD0D85" w:rsidRDefault="00D51C73" w:rsidP="002466C4">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三、主要投資地區</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國家。</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C73" w:rsidRPr="00BD0D85" w:rsidRDefault="00060877" w:rsidP="00060877">
            <w:pPr>
              <w:spacing w:line="320" w:lineRule="exact"/>
              <w:jc w:val="both"/>
              <w:rPr>
                <w:color w:val="000000" w:themeColor="text1"/>
              </w:rPr>
            </w:pPr>
            <w:proofErr w:type="gramStart"/>
            <w:r w:rsidRPr="00BD0D85">
              <w:rPr>
                <w:rFonts w:ascii="Times New Roman" w:eastAsia="標楷體" w:hAnsi="Times New Roman"/>
                <w:color w:val="000000" w:themeColor="text1"/>
                <w:szCs w:val="24"/>
                <w:shd w:val="clear" w:color="auto" w:fill="FFFFFF"/>
              </w:rPr>
              <w:t>【</w:t>
            </w:r>
            <w:proofErr w:type="gramEnd"/>
            <w:r w:rsidRPr="00BD0D85">
              <w:rPr>
                <w:rFonts w:ascii="Times New Roman" w:eastAsia="標楷體" w:hAnsi="Times New Roman"/>
                <w:color w:val="000000" w:themeColor="text1"/>
                <w:szCs w:val="24"/>
                <w:shd w:val="clear" w:color="auto" w:fill="FFFFFF"/>
              </w:rPr>
              <w:t>請註明相關文件頁碼，包括但不限於：信託契約、</w:t>
            </w:r>
            <w:r w:rsidR="00D51C73" w:rsidRPr="00BD0D85">
              <w:rPr>
                <w:rFonts w:ascii="Times New Roman" w:eastAsia="標楷體" w:hAnsi="Times New Roman"/>
                <w:color w:val="000000" w:themeColor="text1"/>
                <w:szCs w:val="24"/>
                <w:shd w:val="clear" w:color="auto" w:fill="FFFFFF"/>
              </w:rPr>
              <w:t>公開說明書</w:t>
            </w:r>
            <w:r w:rsidRPr="00BD0D85">
              <w:rPr>
                <w:rFonts w:ascii="Times New Roman" w:eastAsia="標楷體" w:hAnsi="Times New Roman"/>
                <w:color w:val="000000" w:themeColor="text1"/>
                <w:szCs w:val="24"/>
                <w:shd w:val="clear" w:color="auto" w:fill="FFFFFF"/>
              </w:rPr>
              <w:t>及</w:t>
            </w:r>
            <w:r w:rsidR="00D51C73" w:rsidRPr="00BD0D85">
              <w:rPr>
                <w:rFonts w:ascii="Times New Roman" w:eastAsia="標楷體" w:hAnsi="Times New Roman"/>
                <w:color w:val="000000" w:themeColor="text1"/>
                <w:szCs w:val="24"/>
                <w:shd w:val="clear" w:color="auto" w:fill="FFFFFF"/>
              </w:rPr>
              <w:t>申報書附件</w:t>
            </w:r>
            <w:proofErr w:type="gramStart"/>
            <w:r w:rsidR="00D51C73" w:rsidRPr="00BD0D85">
              <w:rPr>
                <w:rFonts w:ascii="Times New Roman" w:eastAsia="標楷體" w:hAnsi="Times New Roman"/>
                <w:color w:val="000000" w:themeColor="text1"/>
                <w:szCs w:val="24"/>
                <w:shd w:val="clear" w:color="auto" w:fill="FFFFFF"/>
              </w:rPr>
              <w:t>】</w:t>
            </w:r>
            <w:proofErr w:type="gramEnd"/>
          </w:p>
        </w:tc>
      </w:tr>
      <w:tr w:rsidR="00BD0D85" w:rsidRPr="00BD0D85" w:rsidTr="000320D9">
        <w:trPr>
          <w:trHeight w:val="982"/>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D17393">
            <w:pPr>
              <w:widowControl/>
              <w:numPr>
                <w:ilvl w:val="0"/>
                <w:numId w:val="1"/>
              </w:numPr>
              <w:spacing w:line="320" w:lineRule="exact"/>
              <w:ind w:left="462" w:hanging="565"/>
              <w:jc w:val="both"/>
              <w:rPr>
                <w:rFonts w:ascii="Times New Roman" w:eastAsia="標楷體" w:hAnsi="Times New Roman"/>
                <w:b/>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D17393">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D17393">
            <w:pPr>
              <w:spacing w:line="320" w:lineRule="exact"/>
              <w:ind w:left="480" w:hanging="480"/>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補充說明事項：</w:t>
            </w:r>
          </w:p>
          <w:p w:rsidR="00F2152D" w:rsidRPr="00BD0D85" w:rsidRDefault="00F2152D" w:rsidP="00D17393">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自開放買回之日起至申報送件日，</w:t>
            </w:r>
            <w:proofErr w:type="gramStart"/>
            <w:r w:rsidRPr="00BD0D85">
              <w:rPr>
                <w:rFonts w:ascii="Times New Roman" w:eastAsia="標楷體" w:hAnsi="Times New Roman" w:hint="eastAsia"/>
                <w:color w:val="000000" w:themeColor="text1"/>
                <w:szCs w:val="24"/>
              </w:rPr>
              <w:t>相隔時間</w:t>
            </w:r>
            <w:proofErr w:type="gramEnd"/>
            <w:r w:rsidRPr="00BD0D85">
              <w:rPr>
                <w:rFonts w:ascii="Times New Roman" w:eastAsia="標楷體" w:hAnsi="Times New Roman" w:hint="eastAsia"/>
                <w:color w:val="000000" w:themeColor="text1"/>
                <w:szCs w:val="24"/>
              </w:rPr>
              <w:t>多長。</w:t>
            </w:r>
          </w:p>
        </w:tc>
      </w:tr>
      <w:tr w:rsidR="00BD0D85" w:rsidRPr="00BD0D85" w:rsidTr="00C339B0">
        <w:trPr>
          <w:trHeight w:val="1361"/>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39B0" w:rsidRPr="00BD0D85" w:rsidRDefault="00C339B0" w:rsidP="00C339B0">
            <w:pPr>
              <w:widowControl/>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投信投顧公會初審意見</w:t>
            </w:r>
          </w:p>
        </w:tc>
        <w:tc>
          <w:tcPr>
            <w:tcW w:w="1200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339B0" w:rsidRPr="00BD0D85" w:rsidRDefault="00C339B0" w:rsidP="00C339B0">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C339B0">
        <w:trPr>
          <w:trHeight w:val="1361"/>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39B0" w:rsidRPr="00BD0D85" w:rsidRDefault="00C339B0" w:rsidP="00C339B0">
            <w:pPr>
              <w:widowControl/>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集保綜合審查意見</w:t>
            </w:r>
          </w:p>
          <w:p w:rsidR="00C339B0" w:rsidRPr="00BD0D85" w:rsidRDefault="00C339B0" w:rsidP="00C339B0">
            <w:pPr>
              <w:widowControl/>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日期：</w:t>
            </w:r>
            <w:r w:rsidRPr="00BD0D85">
              <w:rPr>
                <w:rFonts w:ascii="Times New Roman" w:eastAsia="標楷體" w:hAnsi="Times New Roman" w:hint="eastAsia"/>
                <w:b/>
                <w:color w:val="000000" w:themeColor="text1"/>
                <w:szCs w:val="24"/>
              </w:rPr>
              <w:t xml:space="preserve">   </w:t>
            </w:r>
            <w:r w:rsidRPr="00BD0D85">
              <w:rPr>
                <w:rFonts w:ascii="Times New Roman" w:eastAsia="標楷體" w:hAnsi="Times New Roman"/>
                <w:b/>
                <w:color w:val="000000" w:themeColor="text1"/>
                <w:szCs w:val="24"/>
              </w:rPr>
              <w:t xml:space="preserve">   /      /      </w:t>
            </w:r>
          </w:p>
        </w:tc>
        <w:tc>
          <w:tcPr>
            <w:tcW w:w="1200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339B0" w:rsidRPr="00BD0D85" w:rsidRDefault="00C339B0" w:rsidP="00FF01DD">
            <w:pPr>
              <w:spacing w:line="320" w:lineRule="exact"/>
              <w:ind w:left="466" w:hangingChars="194" w:hanging="466"/>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w:t>
            </w:r>
            <w:r w:rsidR="00FF01DD" w:rsidRPr="00BD0D85">
              <w:rPr>
                <w:rFonts w:ascii="Times New Roman" w:eastAsia="標楷體" w:hAnsi="Times New Roman" w:hint="eastAsia"/>
                <w:color w:val="000000" w:themeColor="text1"/>
                <w:szCs w:val="24"/>
              </w:rPr>
              <w:t>本</w:t>
            </w:r>
            <w:r w:rsidRPr="00BD0D85">
              <w:rPr>
                <w:rFonts w:ascii="Times New Roman" w:eastAsia="標楷體" w:hAnsi="Times New Roman" w:hint="eastAsia"/>
                <w:color w:val="000000" w:themeColor="text1"/>
                <w:szCs w:val="24"/>
              </w:rPr>
              <w:t>基金</w:t>
            </w:r>
            <w:r w:rsidR="00FF01DD" w:rsidRPr="00BD0D85">
              <w:rPr>
                <w:rFonts w:ascii="Times New Roman" w:eastAsia="標楷體" w:hAnsi="Times New Roman" w:hint="eastAsia"/>
                <w:color w:val="000000" w:themeColor="text1"/>
                <w:szCs w:val="24"/>
              </w:rPr>
              <w:t>是否於申報日前五個營業日平均已發行單位</w:t>
            </w:r>
            <w:proofErr w:type="gramStart"/>
            <w:r w:rsidR="00FF01DD" w:rsidRPr="00BD0D85">
              <w:rPr>
                <w:rFonts w:ascii="Times New Roman" w:eastAsia="標楷體" w:hAnsi="Times New Roman" w:hint="eastAsia"/>
                <w:color w:val="000000" w:themeColor="text1"/>
                <w:szCs w:val="24"/>
              </w:rPr>
              <w:t>數占原申請</w:t>
            </w:r>
            <w:proofErr w:type="gramEnd"/>
            <w:r w:rsidR="00FF01DD" w:rsidRPr="00BD0D85">
              <w:rPr>
                <w:rFonts w:ascii="Times New Roman" w:eastAsia="標楷體" w:hAnsi="Times New Roman" w:hint="eastAsia"/>
                <w:color w:val="000000" w:themeColor="text1"/>
                <w:szCs w:val="24"/>
              </w:rPr>
              <w:t>核准或申報生效發行單位數之比率達百分之八十以上，符合證券投資信託事業募集證券投資信託基金處理準則第</w:t>
            </w:r>
            <w:r w:rsidR="00FF01DD" w:rsidRPr="00BD0D85">
              <w:rPr>
                <w:rFonts w:ascii="Times New Roman" w:eastAsia="標楷體" w:hAnsi="Times New Roman" w:hint="eastAsia"/>
                <w:color w:val="000000" w:themeColor="text1"/>
                <w:szCs w:val="24"/>
              </w:rPr>
              <w:t>8</w:t>
            </w:r>
            <w:r w:rsidR="00FF01DD" w:rsidRPr="00BD0D85">
              <w:rPr>
                <w:rFonts w:ascii="Times New Roman" w:eastAsia="標楷體" w:hAnsi="Times New Roman" w:hint="eastAsia"/>
                <w:color w:val="000000" w:themeColor="text1"/>
                <w:szCs w:val="24"/>
              </w:rPr>
              <w:t>條規定得</w:t>
            </w:r>
            <w:r w:rsidRPr="00BD0D85">
              <w:rPr>
                <w:rFonts w:ascii="Times New Roman" w:eastAsia="標楷體" w:hAnsi="Times New Roman" w:hint="eastAsia"/>
                <w:color w:val="000000" w:themeColor="text1"/>
                <w:szCs w:val="24"/>
              </w:rPr>
              <w:t>辦理追加募集之條件：</w:t>
            </w:r>
            <w:r w:rsidRPr="00BD0D85">
              <w:rPr>
                <w:rFonts w:ascii="標楷體" w:eastAsia="標楷體" w:hAnsi="標楷體" w:hint="eastAsia"/>
                <w:color w:val="000000" w:themeColor="text1"/>
                <w:szCs w:val="24"/>
              </w:rPr>
              <w:t>□</w:t>
            </w:r>
            <w:proofErr w:type="gramStart"/>
            <w:r w:rsidRPr="00BD0D85">
              <w:rPr>
                <w:rFonts w:ascii="標楷體" w:eastAsia="標楷體" w:hAnsi="標楷體" w:hint="eastAsia"/>
                <w:color w:val="000000" w:themeColor="text1"/>
                <w:szCs w:val="24"/>
              </w:rPr>
              <w:t>是□否</w:t>
            </w:r>
            <w:proofErr w:type="gramEnd"/>
            <w:r w:rsidR="00FF01DD" w:rsidRPr="00BD0D85">
              <w:rPr>
                <w:rFonts w:ascii="標楷體" w:eastAsia="標楷體" w:hAnsi="標楷體" w:hint="eastAsia"/>
                <w:color w:val="000000" w:themeColor="text1"/>
                <w:szCs w:val="24"/>
              </w:rPr>
              <w:t>。</w:t>
            </w:r>
          </w:p>
          <w:p w:rsidR="00C339B0" w:rsidRPr="00BD0D85" w:rsidRDefault="00C339B0" w:rsidP="00FF01DD">
            <w:pPr>
              <w:spacing w:line="320" w:lineRule="exact"/>
              <w:ind w:left="466" w:hangingChars="194" w:hanging="466"/>
              <w:rPr>
                <w:rFonts w:ascii="標楷體" w:eastAsia="標楷體" w:hAnsi="標楷體"/>
                <w:color w:val="000000" w:themeColor="text1"/>
                <w:szCs w:val="24"/>
              </w:rPr>
            </w:pPr>
            <w:r w:rsidRPr="00BD0D85">
              <w:rPr>
                <w:rFonts w:ascii="Times New Roman" w:eastAsia="標楷體" w:hAnsi="Times New Roman" w:hint="eastAsia"/>
                <w:color w:val="000000" w:themeColor="text1"/>
                <w:szCs w:val="24"/>
              </w:rPr>
              <w:t>二、</w:t>
            </w:r>
            <w:r w:rsidR="00FF01DD" w:rsidRPr="00BD0D85">
              <w:rPr>
                <w:rFonts w:ascii="Times New Roman" w:eastAsia="標楷體" w:hAnsi="Times New Roman" w:hint="eastAsia"/>
                <w:color w:val="000000" w:themeColor="text1"/>
                <w:szCs w:val="24"/>
              </w:rPr>
              <w:t>經檢視本基金追加募集所修正之信託契約、公開說明書、相關申報書件及說明資料，是否符合相關規定</w:t>
            </w:r>
            <w:r w:rsidRPr="00BD0D85">
              <w:rPr>
                <w:rFonts w:ascii="Times New Roman" w:eastAsia="標楷體" w:hAnsi="Times New Roman" w:hint="eastAsia"/>
                <w:color w:val="000000" w:themeColor="text1"/>
                <w:szCs w:val="24"/>
              </w:rPr>
              <w:t>：</w:t>
            </w:r>
            <w:r w:rsidRPr="00BD0D85">
              <w:rPr>
                <w:rFonts w:ascii="標楷體" w:eastAsia="標楷體" w:hAnsi="標楷體" w:hint="eastAsia"/>
                <w:color w:val="000000" w:themeColor="text1"/>
                <w:szCs w:val="24"/>
              </w:rPr>
              <w:t>□</w:t>
            </w:r>
            <w:proofErr w:type="gramStart"/>
            <w:r w:rsidR="00705386" w:rsidRPr="00BD0D85">
              <w:rPr>
                <w:rFonts w:ascii="標楷體" w:eastAsia="標楷體" w:hAnsi="標楷體" w:hint="eastAsia"/>
                <w:color w:val="000000" w:themeColor="text1"/>
                <w:szCs w:val="24"/>
              </w:rPr>
              <w:t>是□否</w:t>
            </w:r>
            <w:proofErr w:type="gramEnd"/>
            <w:r w:rsidR="00FF01DD" w:rsidRPr="00BD0D85">
              <w:rPr>
                <w:rFonts w:ascii="標楷體" w:eastAsia="標楷體" w:hAnsi="標楷體" w:hint="eastAsia"/>
                <w:color w:val="000000" w:themeColor="text1"/>
                <w:szCs w:val="24"/>
              </w:rPr>
              <w:t>。</w:t>
            </w:r>
          </w:p>
          <w:p w:rsidR="00FF01DD" w:rsidRPr="00BD0D85" w:rsidRDefault="00FF01DD" w:rsidP="00FF01DD">
            <w:pPr>
              <w:spacing w:line="320" w:lineRule="exact"/>
              <w:ind w:left="466" w:hangingChars="194" w:hanging="466"/>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三、本案擬辦：□同意所報，並自○年○月○日起申報生效。</w:t>
            </w:r>
          </w:p>
          <w:p w:rsidR="00FF01DD" w:rsidRPr="00BD0D85" w:rsidRDefault="003B69FF" w:rsidP="003B69FF">
            <w:pPr>
              <w:spacing w:line="320" w:lineRule="exact"/>
              <w:ind w:leftChars="701" w:left="1893" w:hangingChars="88" w:hanging="211"/>
              <w:jc w:val="both"/>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shd w:val="clear" w:color="auto" w:fill="FFFFFF"/>
              </w:rPr>
              <w:t>□依</w:t>
            </w:r>
            <w:r w:rsidRPr="00BD0D85">
              <w:rPr>
                <w:rFonts w:ascii="Times New Roman" w:eastAsia="標楷體" w:hAnsi="Times New Roman" w:hint="eastAsia"/>
                <w:color w:val="000000" w:themeColor="text1"/>
                <w:szCs w:val="24"/>
              </w:rPr>
              <w:t>證券投資信託事業募集證券投資信託基金處理準則第</w:t>
            </w:r>
            <w:r w:rsidRPr="00BD0D85">
              <w:rPr>
                <w:rFonts w:ascii="Times New Roman" w:eastAsia="標楷體" w:hAnsi="Times New Roman" w:hint="eastAsia"/>
                <w:color w:val="000000" w:themeColor="text1"/>
                <w:szCs w:val="24"/>
              </w:rPr>
              <w:t>14</w:t>
            </w:r>
            <w:r w:rsidRPr="00BD0D85">
              <w:rPr>
                <w:rFonts w:ascii="Times New Roman" w:eastAsia="標楷體" w:hAnsi="Times New Roman" w:hint="eastAsia"/>
                <w:color w:val="000000" w:themeColor="text1"/>
                <w:szCs w:val="24"/>
              </w:rPr>
              <w:t>條規定，本案停止申報生效。</w:t>
            </w:r>
          </w:p>
          <w:p w:rsidR="003B69FF" w:rsidRPr="00BD0D85" w:rsidRDefault="003B69FF" w:rsidP="003B69FF">
            <w:pPr>
              <w:spacing w:line="320" w:lineRule="exact"/>
              <w:ind w:leftChars="701" w:left="1893" w:hangingChars="88" w:hanging="211"/>
              <w:jc w:val="both"/>
              <w:rPr>
                <w:rFonts w:ascii="Times New Roman" w:eastAsia="標楷體" w:hAnsi="Times New Roman"/>
                <w:color w:val="000000" w:themeColor="text1"/>
                <w:szCs w:val="24"/>
                <w:shd w:val="clear" w:color="auto" w:fill="FFFFFF"/>
              </w:rPr>
            </w:pPr>
            <w:r w:rsidRPr="00BD0D85">
              <w:rPr>
                <w:rFonts w:ascii="標楷體" w:eastAsia="標楷體" w:hAnsi="標楷體" w:hint="eastAsia"/>
                <w:color w:val="000000" w:themeColor="text1"/>
                <w:szCs w:val="24"/>
                <w:shd w:val="clear" w:color="auto" w:fill="FFFFFF"/>
              </w:rPr>
              <w:t>□依</w:t>
            </w:r>
            <w:r w:rsidRPr="00BD0D85">
              <w:rPr>
                <w:rFonts w:ascii="Times New Roman" w:eastAsia="標楷體" w:hAnsi="Times New Roman" w:hint="eastAsia"/>
                <w:color w:val="000000" w:themeColor="text1"/>
                <w:szCs w:val="24"/>
              </w:rPr>
              <w:t>證券投資信託事業募集證券投資信託基金處理準則第</w:t>
            </w:r>
            <w:r w:rsidRPr="00BD0D85">
              <w:rPr>
                <w:rFonts w:ascii="Times New Roman" w:eastAsia="標楷體" w:hAnsi="Times New Roman" w:hint="eastAsia"/>
                <w:color w:val="000000" w:themeColor="text1"/>
                <w:szCs w:val="24"/>
              </w:rPr>
              <w:t>4</w:t>
            </w:r>
            <w:r w:rsidRPr="00BD0D85">
              <w:rPr>
                <w:rFonts w:ascii="Times New Roman" w:eastAsia="標楷體" w:hAnsi="Times New Roman" w:hint="eastAsia"/>
                <w:color w:val="000000" w:themeColor="text1"/>
                <w:szCs w:val="24"/>
              </w:rPr>
              <w:t>條規定，本案退回或不核准。</w:t>
            </w:r>
          </w:p>
        </w:tc>
      </w:tr>
    </w:tbl>
    <w:p w:rsidR="00D17393" w:rsidRPr="00BD0D85" w:rsidRDefault="00D17393">
      <w:pPr>
        <w:widowControl/>
        <w:suppressAutoHyphens w:val="0"/>
        <w:rPr>
          <w:rFonts w:ascii="Times New Roman" w:eastAsia="標楷體" w:hAnsi="Times New Roman"/>
          <w:b/>
          <w:color w:val="000000" w:themeColor="text1"/>
          <w:sz w:val="28"/>
          <w:szCs w:val="28"/>
          <w:highlight w:val="cyan"/>
        </w:rPr>
      </w:pPr>
      <w:r w:rsidRPr="00BD0D85">
        <w:rPr>
          <w:rFonts w:ascii="Times New Roman" w:eastAsia="標楷體" w:hAnsi="Times New Roman"/>
          <w:b/>
          <w:color w:val="000000" w:themeColor="text1"/>
          <w:sz w:val="28"/>
          <w:szCs w:val="28"/>
          <w:highlight w:val="cyan"/>
        </w:rPr>
        <w:br w:type="page"/>
      </w:r>
    </w:p>
    <w:p w:rsidR="00BB2861" w:rsidRPr="00BD0D85" w:rsidRDefault="00BF65BE" w:rsidP="006E23A3">
      <w:pPr>
        <w:pStyle w:val="1"/>
        <w:spacing w:before="0" w:after="0" w:line="240" w:lineRule="auto"/>
        <w:rPr>
          <w:rFonts w:ascii="標楷體" w:eastAsia="標楷體" w:hAnsi="標楷體"/>
          <w:color w:val="000000" w:themeColor="text1"/>
          <w:sz w:val="28"/>
          <w:szCs w:val="28"/>
        </w:rPr>
      </w:pPr>
      <w:bookmarkStart w:id="4" w:name="_參、首次募集案件之檢查事項與說明"/>
      <w:bookmarkEnd w:id="4"/>
      <w:r w:rsidRPr="00BD0D85">
        <w:rPr>
          <w:rFonts w:ascii="標楷體" w:eastAsia="標楷體" w:hAnsi="標楷體" w:hint="eastAsia"/>
          <w:color w:val="000000" w:themeColor="text1"/>
          <w:sz w:val="28"/>
          <w:szCs w:val="28"/>
        </w:rPr>
        <w:lastRenderedPageBreak/>
        <w:t>參、首</w:t>
      </w:r>
      <w:r w:rsidR="00D17393" w:rsidRPr="00BD0D85">
        <w:rPr>
          <w:rFonts w:ascii="標楷體" w:eastAsia="標楷體" w:hAnsi="標楷體" w:hint="eastAsia"/>
          <w:color w:val="000000" w:themeColor="text1"/>
          <w:sz w:val="28"/>
          <w:szCs w:val="28"/>
        </w:rPr>
        <w:t>次</w:t>
      </w:r>
      <w:r w:rsidRPr="00BD0D85">
        <w:rPr>
          <w:rFonts w:ascii="標楷體" w:eastAsia="標楷體" w:hAnsi="標楷體" w:hint="eastAsia"/>
          <w:color w:val="000000" w:themeColor="text1"/>
          <w:sz w:val="28"/>
          <w:szCs w:val="28"/>
        </w:rPr>
        <w:t>募</w:t>
      </w:r>
      <w:r w:rsidR="00D17393" w:rsidRPr="00BD0D85">
        <w:rPr>
          <w:rFonts w:ascii="標楷體" w:eastAsia="標楷體" w:hAnsi="標楷體" w:hint="eastAsia"/>
          <w:color w:val="000000" w:themeColor="text1"/>
          <w:sz w:val="28"/>
          <w:szCs w:val="28"/>
        </w:rPr>
        <w:t>集</w:t>
      </w:r>
      <w:r w:rsidRPr="00BD0D85">
        <w:rPr>
          <w:rFonts w:ascii="標楷體" w:eastAsia="標楷體" w:hAnsi="標楷體" w:hint="eastAsia"/>
          <w:color w:val="000000" w:themeColor="text1"/>
          <w:sz w:val="28"/>
          <w:szCs w:val="28"/>
        </w:rPr>
        <w:t>案件之</w:t>
      </w:r>
      <w:r w:rsidR="00593338" w:rsidRPr="00BD0D85">
        <w:rPr>
          <w:rFonts w:ascii="標楷體" w:eastAsia="標楷體" w:hAnsi="標楷體"/>
          <w:color w:val="000000" w:themeColor="text1"/>
          <w:sz w:val="28"/>
          <w:szCs w:val="28"/>
        </w:rPr>
        <w:t>檢查事項與說明</w:t>
      </w:r>
    </w:p>
    <w:tbl>
      <w:tblPr>
        <w:tblW w:w="5270" w:type="pct"/>
        <w:jc w:val="center"/>
        <w:tblCellMar>
          <w:left w:w="10" w:type="dxa"/>
          <w:right w:w="10" w:type="dxa"/>
        </w:tblCellMar>
        <w:tblLook w:val="04A0" w:firstRow="1" w:lastRow="0" w:firstColumn="1" w:lastColumn="0" w:noHBand="0" w:noVBand="1"/>
      </w:tblPr>
      <w:tblGrid>
        <w:gridCol w:w="2694"/>
        <w:gridCol w:w="1135"/>
        <w:gridCol w:w="8926"/>
        <w:gridCol w:w="1946"/>
      </w:tblGrid>
      <w:tr w:rsidR="00BD0D85" w:rsidRPr="00BD0D85" w:rsidTr="009A0744">
        <w:trPr>
          <w:trHeight w:hRule="exact" w:val="567"/>
          <w:tblHeade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2861" w:rsidRPr="00BD0D85" w:rsidRDefault="00593338">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檢查事項</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2861" w:rsidRPr="00BD0D85" w:rsidRDefault="00593338">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結論</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2861" w:rsidRPr="00BD0D85" w:rsidRDefault="005F034B">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hint="eastAsia"/>
                <w:b/>
                <w:color w:val="000000" w:themeColor="text1"/>
                <w:sz w:val="28"/>
                <w:szCs w:val="28"/>
              </w:rPr>
              <w:t>證</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券</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投</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資</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信</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託</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事</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業</w:t>
            </w:r>
            <w:r w:rsidR="00593338" w:rsidRPr="00BD0D85">
              <w:rPr>
                <w:rFonts w:ascii="Times New Roman" w:eastAsia="標楷體" w:hAnsi="Times New Roman"/>
                <w:b/>
                <w:color w:val="000000" w:themeColor="text1"/>
                <w:sz w:val="28"/>
                <w:szCs w:val="28"/>
              </w:rPr>
              <w:t xml:space="preserve">  </w:t>
            </w:r>
            <w:r w:rsidR="00593338" w:rsidRPr="00BD0D85">
              <w:rPr>
                <w:rFonts w:ascii="Times New Roman" w:eastAsia="標楷體" w:hAnsi="Times New Roman"/>
                <w:b/>
                <w:color w:val="000000" w:themeColor="text1"/>
                <w:sz w:val="28"/>
                <w:szCs w:val="28"/>
              </w:rPr>
              <w:t>說</w:t>
            </w:r>
            <w:r w:rsidR="00593338" w:rsidRPr="00BD0D85">
              <w:rPr>
                <w:rFonts w:ascii="Times New Roman" w:eastAsia="標楷體" w:hAnsi="Times New Roman"/>
                <w:b/>
                <w:color w:val="000000" w:themeColor="text1"/>
                <w:sz w:val="28"/>
                <w:szCs w:val="28"/>
              </w:rPr>
              <w:t xml:space="preserve">  </w:t>
            </w:r>
            <w:r w:rsidR="00593338" w:rsidRPr="00BD0D85">
              <w:rPr>
                <w:rFonts w:ascii="Times New Roman" w:eastAsia="標楷體" w:hAnsi="Times New Roman"/>
                <w:b/>
                <w:color w:val="000000" w:themeColor="text1"/>
                <w:sz w:val="28"/>
                <w:szCs w:val="28"/>
              </w:rPr>
              <w:t>明</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2861" w:rsidRPr="00BD0D85" w:rsidRDefault="00593338">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附件索引</w:t>
            </w:r>
          </w:p>
        </w:tc>
      </w:tr>
      <w:tr w:rsidR="00BD0D85" w:rsidRPr="00BD0D85" w:rsidTr="009A0744">
        <w:trPr>
          <w:trHeight w:val="427"/>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1D7A" w:rsidRPr="00BD0D85" w:rsidRDefault="008D1D7A">
            <w:pPr>
              <w:widowControl/>
              <w:numPr>
                <w:ilvl w:val="0"/>
                <w:numId w:val="1"/>
              </w:numPr>
              <w:spacing w:line="320" w:lineRule="exact"/>
              <w:ind w:left="462" w:hanging="565"/>
              <w:jc w:val="both"/>
              <w:rPr>
                <w:rFonts w:ascii="Times New Roman" w:eastAsia="標楷體" w:hAnsi="Times New Roman"/>
                <w:b/>
                <w:color w:val="000000" w:themeColor="text1"/>
                <w:szCs w:val="24"/>
              </w:rPr>
            </w:pPr>
            <w:r w:rsidRPr="00BD0D85">
              <w:rPr>
                <w:rFonts w:ascii="Times New Roman" w:eastAsia="標楷體" w:hAnsi="Times New Roman"/>
                <w:b/>
                <w:color w:val="000000" w:themeColor="text1"/>
                <w:szCs w:val="24"/>
              </w:rPr>
              <w:t>投資標的、範圍及所設定之特殊情形：</w:t>
            </w:r>
          </w:p>
          <w:p w:rsidR="008D1D7A" w:rsidRPr="00BD0D85" w:rsidRDefault="008D1D7A">
            <w:pPr>
              <w:spacing w:line="320" w:lineRule="exact"/>
              <w:ind w:left="360" w:hanging="36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w:t>
            </w:r>
            <w:proofErr w:type="gramStart"/>
            <w:r w:rsidRPr="00BD0D85">
              <w:rPr>
                <w:rFonts w:ascii="Times New Roman" w:eastAsia="標楷體" w:hAnsi="Times New Roman"/>
                <w:color w:val="000000" w:themeColor="text1"/>
                <w:szCs w:val="24"/>
              </w:rPr>
              <w:t>一</w:t>
            </w:r>
            <w:proofErr w:type="gramEnd"/>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投資標的及投資比例，是否符合該類型基金之規範。</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1D7A" w:rsidRPr="00BD0D85" w:rsidRDefault="008D1D7A">
            <w:pPr>
              <w:widowControl/>
              <w:spacing w:line="320" w:lineRule="exact"/>
              <w:rPr>
                <w:rFonts w:ascii="Times New Roman" w:eastAsia="標楷體" w:hAnsi="Times New Roman"/>
                <w:color w:val="000000" w:themeColor="text1"/>
                <w:szCs w:val="24"/>
              </w:rPr>
            </w:pPr>
          </w:p>
          <w:p w:rsidR="008D1D7A" w:rsidRPr="00BD0D85" w:rsidRDefault="008D1D7A">
            <w:pPr>
              <w:widowControl/>
              <w:spacing w:line="320" w:lineRule="exact"/>
              <w:rPr>
                <w:rFonts w:ascii="Times New Roman" w:eastAsia="標楷體" w:hAnsi="Times New Roman"/>
                <w:color w:val="000000" w:themeColor="text1"/>
                <w:szCs w:val="24"/>
              </w:rPr>
            </w:pPr>
          </w:p>
          <w:p w:rsidR="008D1D7A" w:rsidRPr="00BD0D85" w:rsidRDefault="008D1D7A">
            <w:pPr>
              <w:widowControl/>
              <w:spacing w:line="320" w:lineRule="exact"/>
              <w:rPr>
                <w:rFonts w:ascii="Times New Roman" w:eastAsia="標楷體" w:hAnsi="Times New Roman"/>
                <w:color w:val="000000" w:themeColor="text1"/>
                <w:szCs w:val="24"/>
              </w:rPr>
            </w:pPr>
          </w:p>
          <w:p w:rsidR="008D1D7A" w:rsidRPr="00BD0D85" w:rsidRDefault="008D1D7A">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8D1D7A" w:rsidRPr="00BD0D85" w:rsidRDefault="008D1D7A">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
          <w:p w:rsidR="008D1D7A" w:rsidRPr="00BD0D85" w:rsidRDefault="008D1D7A">
            <w:pPr>
              <w:widowControl/>
              <w:spacing w:line="320" w:lineRule="exact"/>
              <w:rPr>
                <w:color w:val="000000" w:themeColor="text1"/>
              </w:rPr>
            </w:pP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1D7A" w:rsidRPr="00BD0D85" w:rsidRDefault="008D1D7A">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w:t>
            </w:r>
            <w:r w:rsidRPr="00BD0D85">
              <w:rPr>
                <w:rFonts w:ascii="Times New Roman" w:eastAsia="標楷體" w:hAnsi="Times New Roman"/>
                <w:color w:val="000000" w:themeColor="text1"/>
                <w:szCs w:val="24"/>
              </w:rPr>
              <w:t>、投資標的</w:t>
            </w:r>
            <w:r w:rsidRPr="00BD0D85">
              <w:rPr>
                <w:rFonts w:ascii="Times New Roman" w:eastAsia="標楷體" w:hAnsi="Times New Roman" w:hint="eastAsia"/>
                <w:color w:val="000000" w:themeColor="text1"/>
                <w:szCs w:val="24"/>
              </w:rPr>
              <w:t>及範圍</w:t>
            </w:r>
            <w:r w:rsidRPr="00BD0D85">
              <w:rPr>
                <w:rFonts w:ascii="Times New Roman" w:eastAsia="標楷體" w:hAnsi="Times New Roman"/>
                <w:color w:val="000000" w:themeColor="text1"/>
                <w:szCs w:val="24"/>
              </w:rPr>
              <w:t>。</w:t>
            </w:r>
          </w:p>
          <w:p w:rsidR="008D1D7A" w:rsidRPr="00BD0D85" w:rsidRDefault="008D1D7A" w:rsidP="00092156">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投資比例及方針。</w:t>
            </w:r>
          </w:p>
          <w:p w:rsidR="008D1D7A" w:rsidRPr="00BD0D85" w:rsidRDefault="008D1D7A" w:rsidP="00092156">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三、主要投資地區</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國家。</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1D7A" w:rsidRPr="00BD0D85" w:rsidRDefault="008D1D7A">
            <w:pPr>
              <w:spacing w:line="320" w:lineRule="exact"/>
              <w:jc w:val="both"/>
              <w:rPr>
                <w:color w:val="000000" w:themeColor="text1"/>
              </w:rPr>
            </w:pPr>
            <w:proofErr w:type="gramStart"/>
            <w:r w:rsidRPr="00BD0D85">
              <w:rPr>
                <w:rFonts w:ascii="Times New Roman" w:eastAsia="標楷體" w:hAnsi="Times New Roman"/>
                <w:color w:val="000000" w:themeColor="text1"/>
                <w:szCs w:val="24"/>
                <w:shd w:val="clear" w:color="auto" w:fill="FFFFFF"/>
              </w:rPr>
              <w:t>【</w:t>
            </w:r>
            <w:proofErr w:type="gramEnd"/>
            <w:r w:rsidRPr="00BD0D85">
              <w:rPr>
                <w:rFonts w:ascii="Times New Roman" w:eastAsia="標楷體" w:hAnsi="Times New Roman"/>
                <w:color w:val="000000" w:themeColor="text1"/>
                <w:szCs w:val="24"/>
                <w:shd w:val="clear" w:color="auto" w:fill="FFFFFF"/>
              </w:rPr>
              <w:t>請註明相關文件頁碼，包括但不限於：信託契約、發行計畫及公開說明書、申報書附件，以下項目同</w:t>
            </w:r>
            <w:proofErr w:type="gramStart"/>
            <w:r w:rsidRPr="00BD0D85">
              <w:rPr>
                <w:rFonts w:ascii="Times New Roman" w:eastAsia="標楷體" w:hAnsi="Times New Roman"/>
                <w:color w:val="000000" w:themeColor="text1"/>
                <w:szCs w:val="24"/>
                <w:shd w:val="clear" w:color="auto" w:fill="FFFFFF"/>
              </w:rPr>
              <w:t>】</w:t>
            </w:r>
            <w:proofErr w:type="gramEnd"/>
          </w:p>
        </w:tc>
      </w:tr>
      <w:tr w:rsidR="00BD0D85" w:rsidRPr="00BD0D85" w:rsidTr="00AF7092">
        <w:trPr>
          <w:trHeight w:val="1180"/>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numPr>
                <w:ilvl w:val="0"/>
                <w:numId w:val="1"/>
              </w:numPr>
              <w:spacing w:line="320" w:lineRule="exact"/>
              <w:ind w:left="462" w:hanging="565"/>
              <w:jc w:val="both"/>
              <w:rPr>
                <w:rFonts w:ascii="Times New Roman" w:eastAsia="標楷體" w:hAnsi="Times New Roman"/>
                <w:b/>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CC5FDF">
            <w:pPr>
              <w:pStyle w:val="a7"/>
              <w:numPr>
                <w:ilvl w:val="0"/>
                <w:numId w:val="5"/>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請說明預計模擬投資組合</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含標的市場、國家或區域等內容及投資比重，如有投資債券，請說明標的債券之預估存續</w:t>
            </w:r>
            <w:proofErr w:type="gramStart"/>
            <w:r w:rsidRPr="00BD0D85">
              <w:rPr>
                <w:rFonts w:ascii="Times New Roman" w:eastAsia="標楷體" w:hAnsi="Times New Roman" w:hint="eastAsia"/>
                <w:color w:val="000000" w:themeColor="text1"/>
                <w:szCs w:val="24"/>
              </w:rPr>
              <w:t>期間、</w:t>
            </w:r>
            <w:proofErr w:type="gramEnd"/>
            <w:r w:rsidRPr="00BD0D85">
              <w:rPr>
                <w:rFonts w:ascii="Times New Roman" w:eastAsia="標楷體" w:hAnsi="Times New Roman" w:hint="eastAsia"/>
                <w:color w:val="000000" w:themeColor="text1"/>
                <w:szCs w:val="24"/>
              </w:rPr>
              <w:t>發行人類型、產業類型、信用評等及到期年限之分布比例，並提供發行人及產業類型之集中度分析</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w:t>
            </w:r>
          </w:p>
          <w:p w:rsidR="00F2152D" w:rsidRPr="00BD0D85" w:rsidRDefault="00F2152D" w:rsidP="00CC5FDF">
            <w:pPr>
              <w:pStyle w:val="a7"/>
              <w:numPr>
                <w:ilvl w:val="0"/>
                <w:numId w:val="5"/>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本基金如有投資債券，請說明下列問題：</w:t>
            </w:r>
          </w:p>
          <w:p w:rsidR="00F2152D" w:rsidRPr="00BD0D85" w:rsidRDefault="00F2152D" w:rsidP="00CC5FDF">
            <w:pPr>
              <w:pStyle w:val="a7"/>
              <w:numPr>
                <w:ilvl w:val="0"/>
                <w:numId w:val="1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是否投資於非投資等級債券：□是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，如是，請說明投資比重及預估存續期間。</w:t>
            </w:r>
          </w:p>
          <w:p w:rsidR="00F2152D" w:rsidRPr="00BD0D85" w:rsidRDefault="00F2152D" w:rsidP="00CC5FDF">
            <w:pPr>
              <w:pStyle w:val="a7"/>
              <w:numPr>
                <w:ilvl w:val="0"/>
                <w:numId w:val="1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是否投資於美國</w:t>
            </w:r>
            <w:r w:rsidRPr="00BD0D85">
              <w:rPr>
                <w:rFonts w:ascii="Times New Roman" w:eastAsia="標楷體" w:hAnsi="Times New Roman"/>
                <w:color w:val="000000" w:themeColor="text1"/>
                <w:szCs w:val="24"/>
              </w:rPr>
              <w:t>Rule 144A</w:t>
            </w:r>
            <w:r w:rsidRPr="00BD0D85">
              <w:rPr>
                <w:rFonts w:ascii="Times New Roman" w:eastAsia="標楷體" w:hAnsi="Times New Roman" w:hint="eastAsia"/>
                <w:color w:val="000000" w:themeColor="text1"/>
                <w:szCs w:val="24"/>
              </w:rPr>
              <w:t>規定之債券：□是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，如是，請說明投資比重。</w:t>
            </w:r>
          </w:p>
          <w:p w:rsidR="00F2152D" w:rsidRPr="00BD0D85" w:rsidRDefault="00F2152D" w:rsidP="005A531F">
            <w:pPr>
              <w:pStyle w:val="a7"/>
              <w:numPr>
                <w:ilvl w:val="0"/>
                <w:numId w:val="10"/>
              </w:num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是否投資於</w:t>
            </w:r>
            <w:r w:rsidRPr="00BD0D85">
              <w:rPr>
                <w:rFonts w:ascii="Times New Roman" w:eastAsia="標楷體" w:hAnsi="Times New Roman"/>
                <w:color w:val="000000" w:themeColor="text1"/>
                <w:szCs w:val="24"/>
              </w:rPr>
              <w:t>TLAC</w:t>
            </w:r>
            <w:r w:rsidRPr="00BD0D85">
              <w:rPr>
                <w:rFonts w:ascii="Times New Roman" w:eastAsia="標楷體" w:hAnsi="Times New Roman" w:hint="eastAsia"/>
                <w:color w:val="000000" w:themeColor="text1"/>
                <w:szCs w:val="24"/>
              </w:rPr>
              <w:t>債券及</w:t>
            </w:r>
            <w:proofErr w:type="spellStart"/>
            <w:r w:rsidRPr="00BD0D85">
              <w:rPr>
                <w:rFonts w:ascii="Times New Roman" w:eastAsia="標楷體" w:hAnsi="Times New Roman"/>
                <w:color w:val="000000" w:themeColor="text1"/>
                <w:szCs w:val="24"/>
              </w:rPr>
              <w:t>CoCo</w:t>
            </w:r>
            <w:proofErr w:type="spellEnd"/>
            <w:r w:rsidRPr="00BD0D85">
              <w:rPr>
                <w:rFonts w:ascii="Times New Roman" w:eastAsia="標楷體" w:hAnsi="Times New Roman" w:hint="eastAsia"/>
                <w:color w:val="000000" w:themeColor="text1"/>
                <w:szCs w:val="24"/>
              </w:rPr>
              <w:t>債券：□是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，如是，請分別說明投資比重。</w:t>
            </w:r>
          </w:p>
        </w:tc>
      </w:tr>
      <w:tr w:rsidR="00BD0D85" w:rsidRPr="00BD0D85" w:rsidTr="00BB7F0F">
        <w:trPr>
          <w:trHeight w:val="454"/>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numPr>
                <w:ilvl w:val="0"/>
                <w:numId w:val="1"/>
              </w:numPr>
              <w:spacing w:line="320" w:lineRule="exact"/>
              <w:ind w:left="462" w:hanging="565"/>
              <w:jc w:val="both"/>
              <w:rPr>
                <w:rFonts w:ascii="Times New Roman" w:eastAsia="標楷體" w:hAnsi="Times New Roman"/>
                <w:b/>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698"/>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pPr>
              <w:spacing w:line="320" w:lineRule="exact"/>
              <w:ind w:left="360" w:hanging="36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二</w:t>
            </w: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所設定之特殊情形及其調整方式是否合理。</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D17393" w:rsidRPr="00BD0D85" w:rsidRDefault="00D17393">
            <w:pPr>
              <w:widowControl/>
              <w:spacing w:line="320" w:lineRule="exact"/>
              <w:rPr>
                <w:color w:val="000000" w:themeColor="text1"/>
              </w:rPr>
            </w:pPr>
            <w:proofErr w:type="gramStart"/>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roofErr w:type="gramEnd"/>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rsidP="00CD6EAA">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請說明</w:t>
            </w:r>
            <w:r w:rsidRPr="00BD0D85">
              <w:rPr>
                <w:rFonts w:ascii="Times New Roman" w:eastAsia="標楷體" w:hAnsi="Times New Roman" w:hint="eastAsia"/>
                <w:color w:val="000000" w:themeColor="text1"/>
                <w:szCs w:val="24"/>
              </w:rPr>
              <w:t>不受前述投資比例限制之</w:t>
            </w:r>
            <w:r w:rsidRPr="00BD0D85">
              <w:rPr>
                <w:rFonts w:ascii="Times New Roman" w:eastAsia="標楷體" w:hAnsi="Times New Roman"/>
                <w:color w:val="000000" w:themeColor="text1"/>
                <w:szCs w:val="24"/>
              </w:rPr>
              <w:t>特殊情形</w:t>
            </w:r>
            <w:r w:rsidRPr="00BD0D85">
              <w:rPr>
                <w:rFonts w:ascii="Times New Roman" w:eastAsia="標楷體" w:hAnsi="Times New Roman" w:hint="eastAsia"/>
                <w:color w:val="000000" w:themeColor="text1"/>
                <w:szCs w:val="24"/>
              </w:rPr>
              <w:t>、</w:t>
            </w:r>
            <w:r w:rsidRPr="00BD0D85">
              <w:rPr>
                <w:rFonts w:ascii="Times New Roman" w:eastAsia="標楷體" w:hAnsi="Times New Roman"/>
                <w:color w:val="000000" w:themeColor="text1"/>
                <w:szCs w:val="24"/>
              </w:rPr>
              <w:t>調整方式內容及是否損及基金投資人權益。</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454"/>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pPr>
              <w:widowControl/>
              <w:spacing w:line="320" w:lineRule="exact"/>
              <w:rPr>
                <w:rFonts w:ascii="Times New Roman" w:eastAsia="標楷體" w:hAnsi="Times New Roman"/>
                <w:color w:val="000000" w:themeColor="text1"/>
                <w:szCs w:val="24"/>
              </w:rPr>
            </w:pPr>
          </w:p>
        </w:tc>
        <w:tc>
          <w:tcPr>
            <w:tcW w:w="8926"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rsidR="00D17393" w:rsidRPr="00BD0D85" w:rsidRDefault="00D17393" w:rsidP="00BB7F0F">
            <w:pPr>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tc>
        <w:tc>
          <w:tcPr>
            <w:tcW w:w="1946"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454"/>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20"/>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rsidP="005E0ED5">
            <w:pPr>
              <w:spacing w:line="320" w:lineRule="exact"/>
              <w:ind w:left="360" w:hanging="360"/>
              <w:rPr>
                <w:color w:val="000000" w:themeColor="text1"/>
              </w:rPr>
            </w:pP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三</w:t>
            </w: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基金名稱是否符合證券投資信託基金管理辦法第</w:t>
            </w:r>
            <w:r w:rsidRPr="00BD0D85">
              <w:rPr>
                <w:rFonts w:ascii="Times New Roman" w:eastAsia="標楷體" w:hAnsi="Times New Roman"/>
                <w:color w:val="000000" w:themeColor="text1"/>
                <w:szCs w:val="24"/>
              </w:rPr>
              <w:t>19</w:t>
            </w:r>
            <w:r w:rsidRPr="00BD0D85">
              <w:rPr>
                <w:rFonts w:ascii="Times New Roman" w:eastAsia="標楷體" w:hAnsi="Times New Roman"/>
                <w:color w:val="000000" w:themeColor="text1"/>
                <w:szCs w:val="24"/>
              </w:rPr>
              <w:t>條</w:t>
            </w:r>
            <w:r w:rsidRPr="00BD0D85">
              <w:rPr>
                <w:rFonts w:ascii="Times New Roman" w:eastAsia="標楷體" w:hAnsi="Times New Roman" w:hint="eastAsia"/>
                <w:color w:val="000000" w:themeColor="text1"/>
                <w:szCs w:val="24"/>
              </w:rPr>
              <w:t>、第</w:t>
            </w:r>
            <w:r w:rsidRPr="00BD0D85">
              <w:rPr>
                <w:rFonts w:ascii="Times New Roman" w:eastAsia="標楷體" w:hAnsi="Times New Roman" w:hint="eastAsia"/>
                <w:color w:val="000000" w:themeColor="text1"/>
                <w:szCs w:val="24"/>
              </w:rPr>
              <w:t>31</w:t>
            </w:r>
            <w:r w:rsidRPr="00BD0D85">
              <w:rPr>
                <w:rFonts w:ascii="Times New Roman" w:eastAsia="標楷體" w:hAnsi="Times New Roman" w:hint="eastAsia"/>
                <w:color w:val="000000" w:themeColor="text1"/>
                <w:szCs w:val="24"/>
              </w:rPr>
              <w:t>條、第</w:t>
            </w:r>
            <w:r w:rsidRPr="00BD0D85">
              <w:rPr>
                <w:rFonts w:ascii="Times New Roman" w:eastAsia="標楷體" w:hAnsi="Times New Roman" w:hint="eastAsia"/>
                <w:color w:val="000000" w:themeColor="text1"/>
                <w:szCs w:val="24"/>
              </w:rPr>
              <w:t>31</w:t>
            </w:r>
            <w:r w:rsidRPr="00BD0D85">
              <w:rPr>
                <w:rFonts w:ascii="Times New Roman" w:eastAsia="標楷體" w:hAnsi="Times New Roman" w:hint="eastAsia"/>
                <w:color w:val="000000" w:themeColor="text1"/>
                <w:szCs w:val="24"/>
              </w:rPr>
              <w:t>條之</w:t>
            </w:r>
            <w:r w:rsidRPr="00BD0D85">
              <w:rPr>
                <w:rFonts w:ascii="Times New Roman" w:eastAsia="標楷體" w:hAnsi="Times New Roman" w:hint="eastAsia"/>
                <w:color w:val="000000" w:themeColor="text1"/>
                <w:szCs w:val="24"/>
              </w:rPr>
              <w:t>2</w:t>
            </w:r>
            <w:r w:rsidRPr="00BD0D85">
              <w:rPr>
                <w:rFonts w:ascii="Times New Roman" w:eastAsia="標楷體" w:hAnsi="Times New Roman" w:hint="eastAsia"/>
                <w:color w:val="000000" w:themeColor="text1"/>
                <w:szCs w:val="24"/>
              </w:rPr>
              <w:t>條、第</w:t>
            </w:r>
            <w:r w:rsidRPr="00BD0D85">
              <w:rPr>
                <w:rFonts w:ascii="Times New Roman" w:eastAsia="標楷體" w:hAnsi="Times New Roman" w:hint="eastAsia"/>
                <w:color w:val="000000" w:themeColor="text1"/>
                <w:szCs w:val="24"/>
              </w:rPr>
              <w:t>33</w:t>
            </w:r>
            <w:r w:rsidRPr="00BD0D85">
              <w:rPr>
                <w:rFonts w:ascii="Times New Roman" w:eastAsia="標楷體" w:hAnsi="Times New Roman" w:hint="eastAsia"/>
                <w:color w:val="000000" w:themeColor="text1"/>
                <w:szCs w:val="24"/>
              </w:rPr>
              <w:t>條</w:t>
            </w:r>
            <w:r w:rsidRPr="00BD0D85">
              <w:rPr>
                <w:rFonts w:ascii="Times New Roman" w:eastAsia="標楷體" w:hAnsi="Times New Roman"/>
                <w:color w:val="000000" w:themeColor="text1"/>
                <w:szCs w:val="24"/>
              </w:rPr>
              <w:t>規定。</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D17393" w:rsidRPr="00BD0D85" w:rsidRDefault="00D17393">
            <w:pPr>
              <w:widowControl/>
              <w:spacing w:line="320" w:lineRule="exact"/>
              <w:rPr>
                <w:rFonts w:ascii="Times New Roman" w:eastAsia="標楷體" w:hAnsi="Times New Roman"/>
                <w:color w:val="000000" w:themeColor="text1"/>
                <w:szCs w:val="24"/>
              </w:rPr>
            </w:pPr>
            <w:proofErr w:type="gramStart"/>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roofErr w:type="gramEnd"/>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rsidP="006F60DB">
            <w:pPr>
              <w:widowControl/>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一、基金名稱是否無違反其基本方針及投資範圍</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□是</w:t>
            </w:r>
            <w:r w:rsidRPr="00BD0D85">
              <w:rPr>
                <w:rFonts w:ascii="Times New Roman" w:eastAsia="標楷體" w:hAnsi="Times New Roman"/>
                <w:color w:val="000000" w:themeColor="text1"/>
                <w:szCs w:val="24"/>
              </w:rPr>
              <w:t xml:space="preserve"> </w:t>
            </w:r>
            <w:r w:rsidRPr="00BD0D85">
              <w:rPr>
                <w:rFonts w:ascii="Times New Roman" w:eastAsia="標楷體" w:hAnsi="Times New Roman" w:hint="eastAsia"/>
                <w:color w:val="000000" w:themeColor="text1"/>
                <w:szCs w:val="24"/>
              </w:rPr>
              <w:t>□否</w:t>
            </w:r>
          </w:p>
          <w:p w:rsidR="00D17393" w:rsidRPr="00BD0D85" w:rsidRDefault="00D17393" w:rsidP="006F60DB">
            <w:pPr>
              <w:widowControl/>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二、基金名稱是否無直接間接隱含保證本金之安全或獲利之文字</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□是</w:t>
            </w:r>
            <w:r w:rsidRPr="00BD0D85">
              <w:rPr>
                <w:rFonts w:ascii="Times New Roman" w:eastAsia="標楷體" w:hAnsi="Times New Roman"/>
                <w:color w:val="000000" w:themeColor="text1"/>
                <w:szCs w:val="24"/>
              </w:rPr>
              <w:t xml:space="preserve"> </w:t>
            </w:r>
            <w:r w:rsidRPr="00BD0D85">
              <w:rPr>
                <w:rFonts w:ascii="Times New Roman" w:eastAsia="標楷體" w:hAnsi="Times New Roman" w:hint="eastAsia"/>
                <w:color w:val="000000" w:themeColor="text1"/>
                <w:szCs w:val="24"/>
              </w:rPr>
              <w:t>□否</w:t>
            </w:r>
          </w:p>
          <w:p w:rsidR="00D17393" w:rsidRPr="00BD0D85" w:rsidRDefault="00D17393" w:rsidP="00C24CE6">
            <w:pPr>
              <w:widowControl/>
              <w:spacing w:line="320" w:lineRule="exact"/>
              <w:ind w:leftChars="1" w:left="453" w:hangingChars="188" w:hanging="451"/>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三、基金有約定</w:t>
            </w:r>
            <w:proofErr w:type="gramStart"/>
            <w:r w:rsidRPr="00BD0D85">
              <w:rPr>
                <w:rFonts w:ascii="Times New Roman" w:eastAsia="標楷體" w:hAnsi="Times New Roman" w:hint="eastAsia"/>
                <w:color w:val="000000" w:themeColor="text1"/>
                <w:szCs w:val="24"/>
              </w:rPr>
              <w:t>到期日者</w:t>
            </w:r>
            <w:proofErr w:type="gramEnd"/>
            <w:r w:rsidRPr="00BD0D85">
              <w:rPr>
                <w:rFonts w:ascii="Times New Roman" w:eastAsia="標楷體" w:hAnsi="Times New Roman" w:hint="eastAsia"/>
                <w:color w:val="000000" w:themeColor="text1"/>
                <w:szCs w:val="24"/>
              </w:rPr>
              <w:t>，是否於基金名稱中標明存續年期或到期年期：□是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□不適用</w:t>
            </w:r>
          </w:p>
          <w:p w:rsidR="00D17393" w:rsidRPr="00BD0D85" w:rsidRDefault="00D17393" w:rsidP="006F60DB">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四、平衡型</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多重資產型基金是否於基金名稱中標明基金類型：□是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□不適用</w:t>
            </w:r>
          </w:p>
          <w:p w:rsidR="00D17393" w:rsidRPr="00BD0D85" w:rsidRDefault="00D17393" w:rsidP="00E1361F">
            <w:pPr>
              <w:spacing w:line="320" w:lineRule="exact"/>
              <w:ind w:left="449" w:hangingChars="187" w:hanging="449"/>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lastRenderedPageBreak/>
              <w:t>五、指數型基金是否於基金名稱中明確顯示所追蹤、模擬或複製之指數或指數表現：□是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□不適用</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393" w:rsidRPr="00BD0D85" w:rsidRDefault="00D17393">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727CD0">
        <w:trPr>
          <w:trHeight w:val="591"/>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請說明同業之同類型基金名稱是否已有相似命名。</w:t>
            </w:r>
          </w:p>
        </w:tc>
      </w:tr>
      <w:tr w:rsidR="00BD0D85" w:rsidRPr="00BD0D85" w:rsidTr="00BB7F0F">
        <w:trPr>
          <w:trHeight w:val="454"/>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A63CEA">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591"/>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0410A2">
            <w:pPr>
              <w:spacing w:line="320" w:lineRule="exact"/>
              <w:ind w:left="360" w:hanging="36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四</w:t>
            </w: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基金名稱</w:t>
            </w:r>
            <w:r w:rsidRPr="00BD0D85">
              <w:rPr>
                <w:rFonts w:ascii="Times New Roman" w:eastAsia="標楷體" w:hAnsi="Times New Roman" w:hint="eastAsia"/>
                <w:color w:val="000000" w:themeColor="text1"/>
                <w:szCs w:val="24"/>
              </w:rPr>
              <w:t>後方是否加</w:t>
            </w:r>
            <w:proofErr w:type="gramStart"/>
            <w:r w:rsidRPr="00BD0D85">
              <w:rPr>
                <w:rFonts w:ascii="Times New Roman" w:eastAsia="標楷體" w:hAnsi="Times New Roman" w:hint="eastAsia"/>
                <w:color w:val="000000" w:themeColor="text1"/>
                <w:szCs w:val="24"/>
              </w:rPr>
              <w:t>註</w:t>
            </w:r>
            <w:proofErr w:type="gramEnd"/>
            <w:r w:rsidRPr="00BD0D85">
              <w:rPr>
                <w:rFonts w:ascii="Times New Roman" w:eastAsia="標楷體" w:hAnsi="Times New Roman" w:hint="eastAsia"/>
                <w:color w:val="000000" w:themeColor="text1"/>
                <w:szCs w:val="24"/>
              </w:rPr>
              <w:t>投資警語</w:t>
            </w:r>
            <w:r w:rsidRPr="00BD0D85">
              <w:rPr>
                <w:rFonts w:ascii="Times New Roman" w:eastAsia="標楷體" w:hAnsi="Times New Roman"/>
                <w:color w:val="000000" w:themeColor="text1"/>
                <w:szCs w:val="24"/>
              </w:rPr>
              <w:t>。</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C24CE6">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CD6EAA" w:rsidRPr="00BD0D85" w:rsidRDefault="00CD6EAA" w:rsidP="00C24CE6">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
          <w:p w:rsidR="00CD6EAA" w:rsidRPr="00BD0D85" w:rsidRDefault="00CD6EAA" w:rsidP="00C24CE6">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rsidR="00CD6EAA" w:rsidRPr="00BD0D85" w:rsidRDefault="00CD6EAA" w:rsidP="00C24CE6">
            <w:pPr>
              <w:spacing w:line="320" w:lineRule="exact"/>
              <w:ind w:left="449" w:hangingChars="187" w:hanging="449"/>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一、基金名稱後方是否依規定加</w:t>
            </w:r>
            <w:proofErr w:type="gramStart"/>
            <w:r w:rsidRPr="00BD0D85">
              <w:rPr>
                <w:rFonts w:ascii="Times New Roman" w:eastAsia="標楷體" w:hAnsi="Times New Roman" w:hint="eastAsia"/>
                <w:color w:val="000000" w:themeColor="text1"/>
                <w:szCs w:val="24"/>
              </w:rPr>
              <w:t>註</w:t>
            </w:r>
            <w:proofErr w:type="gramEnd"/>
            <w:r w:rsidRPr="00BD0D85">
              <w:rPr>
                <w:rFonts w:ascii="Times New Roman" w:eastAsia="標楷體" w:hAnsi="Times New Roman" w:hint="eastAsia"/>
                <w:color w:val="000000" w:themeColor="text1"/>
                <w:szCs w:val="24"/>
              </w:rPr>
              <w:t>投資警語</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如該基金投資非投資等級債券、該基金配息涉及本金等</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□不適用</w:t>
            </w:r>
          </w:p>
          <w:p w:rsidR="00CD6EAA" w:rsidRPr="00BD0D85" w:rsidRDefault="00CD6EAA" w:rsidP="00E1361F">
            <w:pPr>
              <w:spacing w:line="320" w:lineRule="exact"/>
              <w:ind w:left="449" w:hangingChars="187" w:hanging="449"/>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二、保本型基金名稱後方是否依規定加</w:t>
            </w:r>
            <w:proofErr w:type="gramStart"/>
            <w:r w:rsidRPr="00BD0D85">
              <w:rPr>
                <w:rFonts w:ascii="Times New Roman" w:eastAsia="標楷體" w:hAnsi="Times New Roman" w:hint="eastAsia"/>
                <w:color w:val="000000" w:themeColor="text1"/>
                <w:szCs w:val="24"/>
              </w:rPr>
              <w:t>註</w:t>
            </w:r>
            <w:proofErr w:type="gramEnd"/>
            <w:r w:rsidRPr="00BD0D85">
              <w:rPr>
                <w:rFonts w:ascii="Times New Roman" w:eastAsia="標楷體" w:hAnsi="Times New Roman" w:hint="eastAsia"/>
                <w:color w:val="000000" w:themeColor="text1"/>
                <w:szCs w:val="24"/>
              </w:rPr>
              <w:t>保證型或保護型及其比率：□是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□不適用</w:t>
            </w:r>
          </w:p>
        </w:tc>
        <w:tc>
          <w:tcPr>
            <w:tcW w:w="1946"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454"/>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補充說明事項：</w:t>
            </w:r>
          </w:p>
        </w:tc>
      </w:tr>
      <w:tr w:rsidR="00BD0D85" w:rsidRPr="00BD0D85" w:rsidTr="00BB7F0F">
        <w:trPr>
          <w:trHeight w:val="454"/>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1257"/>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widowControl/>
              <w:numPr>
                <w:ilvl w:val="0"/>
                <w:numId w:val="1"/>
              </w:numPr>
              <w:spacing w:line="320" w:lineRule="exact"/>
              <w:ind w:left="462" w:hanging="565"/>
              <w:jc w:val="both"/>
              <w:rPr>
                <w:rFonts w:ascii="Times New Roman" w:eastAsia="標楷體" w:hAnsi="Times New Roman"/>
                <w:b/>
                <w:color w:val="000000" w:themeColor="text1"/>
                <w:szCs w:val="24"/>
              </w:rPr>
            </w:pPr>
            <w:r w:rsidRPr="00BD0D85">
              <w:rPr>
                <w:rFonts w:ascii="Times New Roman" w:eastAsia="標楷體" w:hAnsi="Times New Roman"/>
                <w:b/>
                <w:color w:val="000000" w:themeColor="text1"/>
                <w:szCs w:val="24"/>
              </w:rPr>
              <w:t>投資策略、特色及衍生性金融商品之運用政策（含匯率避險）：</w:t>
            </w:r>
          </w:p>
          <w:p w:rsidR="00CD6EAA" w:rsidRPr="00BD0D85" w:rsidRDefault="00CD6EAA">
            <w:pPr>
              <w:spacing w:line="320" w:lineRule="exact"/>
              <w:ind w:left="360" w:hanging="36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w:t>
            </w:r>
            <w:proofErr w:type="gramStart"/>
            <w:r w:rsidRPr="00BD0D85">
              <w:rPr>
                <w:rFonts w:ascii="Times New Roman" w:eastAsia="標楷體" w:hAnsi="Times New Roman"/>
                <w:color w:val="000000" w:themeColor="text1"/>
                <w:szCs w:val="24"/>
              </w:rPr>
              <w:t>一</w:t>
            </w:r>
            <w:proofErr w:type="gramEnd"/>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投資策略是否具體並已</w:t>
            </w:r>
            <w:proofErr w:type="gramStart"/>
            <w:r w:rsidRPr="00BD0D85">
              <w:rPr>
                <w:rFonts w:ascii="Times New Roman" w:eastAsia="標楷體" w:hAnsi="Times New Roman"/>
                <w:color w:val="000000" w:themeColor="text1"/>
                <w:szCs w:val="24"/>
              </w:rPr>
              <w:t>擇要摘述於</w:t>
            </w:r>
            <w:proofErr w:type="gramEnd"/>
            <w:r w:rsidRPr="00BD0D85">
              <w:rPr>
                <w:rFonts w:ascii="Times New Roman" w:eastAsia="標楷體" w:hAnsi="Times New Roman"/>
                <w:color w:val="000000" w:themeColor="text1"/>
                <w:szCs w:val="24"/>
              </w:rPr>
              <w:t>公開說明書。</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widowControl/>
              <w:spacing w:line="320" w:lineRule="exact"/>
              <w:rPr>
                <w:rFonts w:ascii="Times New Roman" w:eastAsia="標楷體" w:hAnsi="Times New Roman"/>
                <w:color w:val="000000" w:themeColor="text1"/>
                <w:szCs w:val="24"/>
              </w:rPr>
            </w:pPr>
          </w:p>
          <w:p w:rsidR="00CD6EAA" w:rsidRPr="00BD0D85" w:rsidRDefault="00CD6EAA">
            <w:pPr>
              <w:widowControl/>
              <w:spacing w:line="320" w:lineRule="exact"/>
              <w:rPr>
                <w:rFonts w:ascii="Times New Roman" w:eastAsia="標楷體" w:hAnsi="Times New Roman"/>
                <w:color w:val="000000" w:themeColor="text1"/>
                <w:szCs w:val="24"/>
              </w:rPr>
            </w:pPr>
          </w:p>
          <w:p w:rsidR="00CD6EAA" w:rsidRPr="00BD0D85" w:rsidRDefault="00CD6EAA">
            <w:pPr>
              <w:widowControl/>
              <w:spacing w:line="320" w:lineRule="exact"/>
              <w:rPr>
                <w:rFonts w:ascii="Times New Roman" w:eastAsia="標楷體" w:hAnsi="Times New Roman"/>
                <w:color w:val="000000" w:themeColor="text1"/>
                <w:szCs w:val="24"/>
              </w:rPr>
            </w:pPr>
          </w:p>
          <w:p w:rsidR="00CD6EAA" w:rsidRPr="00BD0D85" w:rsidRDefault="00CD6EAA">
            <w:pPr>
              <w:widowControl/>
              <w:spacing w:line="320" w:lineRule="exact"/>
              <w:rPr>
                <w:rFonts w:ascii="Times New Roman" w:eastAsia="標楷體" w:hAnsi="Times New Roman"/>
                <w:color w:val="000000" w:themeColor="text1"/>
                <w:szCs w:val="24"/>
              </w:rPr>
            </w:pPr>
          </w:p>
          <w:p w:rsidR="00CD6EAA" w:rsidRPr="00BD0D85" w:rsidRDefault="00CD6EAA">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CD6EAA" w:rsidRPr="00BD0D85" w:rsidRDefault="00CD6EAA">
            <w:pPr>
              <w:widowControl/>
              <w:spacing w:line="320" w:lineRule="exact"/>
              <w:rPr>
                <w:rFonts w:ascii="Times New Roman" w:eastAsia="標楷體" w:hAnsi="Times New Roman"/>
                <w:color w:val="000000" w:themeColor="text1"/>
                <w:szCs w:val="24"/>
              </w:rPr>
            </w:pPr>
            <w:proofErr w:type="gramStart"/>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roofErr w:type="gramEnd"/>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F41057">
            <w:pPr>
              <w:spacing w:line="320" w:lineRule="exact"/>
              <w:rPr>
                <w:color w:val="000000" w:themeColor="text1"/>
              </w:rPr>
            </w:pPr>
            <w:r w:rsidRPr="00BD0D85">
              <w:rPr>
                <w:rFonts w:ascii="Times New Roman" w:eastAsia="標楷體" w:hAnsi="Times New Roman" w:hint="eastAsia"/>
                <w:color w:val="000000" w:themeColor="text1"/>
                <w:szCs w:val="24"/>
              </w:rPr>
              <w:t>請說明投資策略：</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AB61ED">
        <w:trPr>
          <w:trHeight w:val="20"/>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6F60DB">
            <w:pPr>
              <w:spacing w:line="320" w:lineRule="exact"/>
              <w:ind w:left="454" w:hangingChars="189" w:hanging="454"/>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一、本基金是否為特定產業主題：□是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，如是，請說明產業分類標準來源。</w:t>
            </w:r>
          </w:p>
          <w:p w:rsidR="00F2152D" w:rsidRPr="00BD0D85" w:rsidRDefault="00F2152D">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二、如為股票型基金，請說明該基金之週轉率管理措施。</w:t>
            </w:r>
            <w:r w:rsidRPr="00BD0D85">
              <w:rPr>
                <w:rFonts w:ascii="Times New Roman" w:eastAsia="標楷體" w:hAnsi="Times New Roman"/>
                <w:strike/>
                <w:color w:val="000000" w:themeColor="text1"/>
                <w:szCs w:val="24"/>
              </w:rPr>
              <w:t xml:space="preserve"> </w:t>
            </w:r>
          </w:p>
        </w:tc>
      </w:tr>
      <w:tr w:rsidR="00BD0D85" w:rsidRPr="00BD0D85" w:rsidTr="00D9709D">
        <w:trPr>
          <w:trHeight w:val="20"/>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BB7F0F">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BB7F0F">
        <w:trPr>
          <w:trHeight w:val="407"/>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spacing w:line="320" w:lineRule="exact"/>
              <w:ind w:left="360" w:hanging="36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二</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投資特色是否具體並已</w:t>
            </w:r>
            <w:proofErr w:type="gramStart"/>
            <w:r w:rsidRPr="00BD0D85">
              <w:rPr>
                <w:rFonts w:ascii="Times New Roman" w:eastAsia="標楷體" w:hAnsi="Times New Roman" w:hint="eastAsia"/>
                <w:color w:val="000000" w:themeColor="text1"/>
                <w:szCs w:val="24"/>
              </w:rPr>
              <w:t>擇要摘述於</w:t>
            </w:r>
            <w:proofErr w:type="gramEnd"/>
            <w:r w:rsidRPr="00BD0D85">
              <w:rPr>
                <w:rFonts w:ascii="Times New Roman" w:eastAsia="標楷體" w:hAnsi="Times New Roman" w:hint="eastAsia"/>
                <w:color w:val="000000" w:themeColor="text1"/>
                <w:szCs w:val="24"/>
              </w:rPr>
              <w:t>公開說明書。</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CD6EAA" w:rsidRPr="00BD0D85" w:rsidRDefault="00CD6EAA">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
          <w:p w:rsidR="00CD6EAA" w:rsidRPr="00BD0D85" w:rsidRDefault="00CD6EAA">
            <w:pPr>
              <w:widowControl/>
              <w:spacing w:line="320" w:lineRule="exact"/>
              <w:rPr>
                <w:rFonts w:ascii="Times New Roman" w:eastAsia="標楷體" w:hAnsi="Times New Roman"/>
                <w:color w:val="000000" w:themeColor="text1"/>
                <w:szCs w:val="24"/>
              </w:rPr>
            </w:pP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276749">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一、請說明投資特色。</w:t>
            </w:r>
          </w:p>
          <w:p w:rsidR="00CD6EAA" w:rsidRPr="00BD0D85" w:rsidRDefault="00CD6EAA">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二、是否設定績效參考指標</w:t>
            </w:r>
            <w:r w:rsidRPr="00BD0D85">
              <w:rPr>
                <w:rFonts w:ascii="Times New Roman" w:eastAsia="標楷體" w:hAnsi="Times New Roman"/>
                <w:color w:val="000000" w:themeColor="text1"/>
                <w:szCs w:val="24"/>
              </w:rPr>
              <w:t>(Benchmark)</w:t>
            </w:r>
            <w:r w:rsidRPr="00BD0D85">
              <w:rPr>
                <w:rFonts w:ascii="Times New Roman" w:eastAsia="標楷體" w:hAnsi="Times New Roman" w:hint="eastAsia"/>
                <w:color w:val="000000" w:themeColor="text1"/>
                <w:szCs w:val="24"/>
              </w:rPr>
              <w:t>：□是</w:t>
            </w:r>
            <w:r w:rsidRPr="00BD0D85">
              <w:rPr>
                <w:rFonts w:ascii="Times New Roman" w:eastAsia="標楷體" w:hAnsi="Times New Roman"/>
                <w:color w:val="000000" w:themeColor="text1"/>
                <w:szCs w:val="24"/>
              </w:rPr>
              <w:t xml:space="preserve"> </w:t>
            </w:r>
            <w:r w:rsidRPr="00BD0D85">
              <w:rPr>
                <w:rFonts w:ascii="Times New Roman" w:eastAsia="標楷體" w:hAnsi="Times New Roman" w:hint="eastAsia"/>
                <w:color w:val="000000" w:themeColor="text1"/>
                <w:szCs w:val="24"/>
              </w:rPr>
              <w:t>□否</w:t>
            </w:r>
          </w:p>
          <w:p w:rsidR="00CD6EAA" w:rsidRPr="00BD0D85" w:rsidRDefault="00CD6EAA" w:rsidP="00BB7F0F">
            <w:pPr>
              <w:spacing w:line="320" w:lineRule="exact"/>
              <w:ind w:left="449" w:hangingChars="187" w:hanging="449"/>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三、</w:t>
            </w:r>
            <w:r w:rsidRPr="00BD0D85">
              <w:rPr>
                <w:rFonts w:ascii="Times New Roman" w:eastAsia="標楷體" w:hAnsi="Times New Roman"/>
                <w:color w:val="000000" w:themeColor="text1"/>
                <w:szCs w:val="24"/>
              </w:rPr>
              <w:t>Benchmark</w:t>
            </w:r>
            <w:r w:rsidRPr="00BD0D85">
              <w:rPr>
                <w:rFonts w:ascii="Times New Roman" w:eastAsia="標楷體" w:hAnsi="Times New Roman" w:hint="eastAsia"/>
                <w:color w:val="000000" w:themeColor="text1"/>
                <w:szCs w:val="24"/>
              </w:rPr>
              <w:t>是否於公開說明書揭露</w:t>
            </w:r>
            <w:r w:rsidR="0035306D"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不適用</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3644EA">
        <w:trPr>
          <w:trHeight w:val="716"/>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BB7F0F">
            <w:pPr>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如有</w:t>
            </w:r>
            <w:r w:rsidRPr="00BD0D85">
              <w:rPr>
                <w:rFonts w:ascii="Times New Roman" w:eastAsia="標楷體" w:hAnsi="Times New Roman"/>
                <w:color w:val="000000" w:themeColor="text1"/>
                <w:szCs w:val="24"/>
              </w:rPr>
              <w:t>Benchmark</w:t>
            </w:r>
            <w:r w:rsidRPr="00BD0D85">
              <w:rPr>
                <w:rFonts w:ascii="Times New Roman" w:eastAsia="標楷體" w:hAnsi="Times New Roman" w:hint="eastAsia"/>
                <w:color w:val="000000" w:themeColor="text1"/>
                <w:szCs w:val="24"/>
              </w:rPr>
              <w:t>，請說明</w:t>
            </w:r>
            <w:r w:rsidRPr="00BD0D85">
              <w:rPr>
                <w:rFonts w:ascii="Times New Roman" w:eastAsia="標楷體" w:hAnsi="Times New Roman"/>
                <w:color w:val="000000" w:themeColor="text1"/>
                <w:szCs w:val="24"/>
              </w:rPr>
              <w:t>Benchmark</w:t>
            </w:r>
            <w:r w:rsidRPr="00BD0D85">
              <w:rPr>
                <w:rFonts w:ascii="Times New Roman" w:eastAsia="標楷體" w:hAnsi="Times New Roman" w:hint="eastAsia"/>
                <w:color w:val="000000" w:themeColor="text1"/>
                <w:szCs w:val="24"/>
              </w:rPr>
              <w:t>相對於投資特色之合理性。</w:t>
            </w:r>
          </w:p>
        </w:tc>
      </w:tr>
      <w:tr w:rsidR="00BD0D85" w:rsidRPr="00BD0D85" w:rsidTr="00BB7F0F">
        <w:trPr>
          <w:trHeight w:val="408"/>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BB7F0F">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811"/>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spacing w:line="320" w:lineRule="exact"/>
              <w:ind w:left="360" w:hanging="360"/>
              <w:jc w:val="both"/>
              <w:rPr>
                <w:color w:val="000000" w:themeColor="text1"/>
              </w:rPr>
            </w:pPr>
            <w:r w:rsidRPr="00BD0D85">
              <w:rPr>
                <w:rFonts w:ascii="Times New Roman" w:eastAsia="標楷體" w:hAnsi="Times New Roman"/>
                <w:color w:val="000000" w:themeColor="text1"/>
                <w:szCs w:val="24"/>
              </w:rPr>
              <w:lastRenderedPageBreak/>
              <w:t>(</w:t>
            </w:r>
            <w:r w:rsidRPr="00BD0D85">
              <w:rPr>
                <w:rFonts w:ascii="Times New Roman" w:eastAsia="標楷體" w:hAnsi="Times New Roman"/>
                <w:color w:val="000000" w:themeColor="text1"/>
                <w:szCs w:val="24"/>
              </w:rPr>
              <w:t>三</w:t>
            </w: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從事衍生性金融商品交易之運用政策</w:t>
            </w:r>
            <w:r w:rsidRPr="00BD0D85">
              <w:rPr>
                <w:rFonts w:ascii="Times New Roman" w:hAnsi="Times New Roman"/>
                <w:color w:val="000000" w:themeColor="text1"/>
                <w:szCs w:val="24"/>
              </w:rPr>
              <w:t>（</w:t>
            </w:r>
            <w:r w:rsidRPr="00BD0D85">
              <w:rPr>
                <w:rFonts w:ascii="Times New Roman" w:eastAsia="標楷體" w:hAnsi="Times New Roman"/>
                <w:color w:val="000000" w:themeColor="text1"/>
                <w:szCs w:val="24"/>
              </w:rPr>
              <w:t>含匯率避險）是否符合相關規範。</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CD6EAA" w:rsidRPr="00BD0D85" w:rsidRDefault="00CD6EAA">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CD6EAA" w:rsidRPr="00BD0D85" w:rsidRDefault="00CD6EAA">
            <w:pPr>
              <w:widowControl/>
              <w:spacing w:line="320" w:lineRule="exact"/>
              <w:rPr>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AE0F28">
            <w:pPr>
              <w:spacing w:line="320" w:lineRule="exact"/>
              <w:ind w:left="449" w:hangingChars="187" w:hanging="449"/>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一、證券相關商品之運用策略</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請分別就「避險需要」及「增加投資效率」目的說明</w:t>
            </w:r>
            <w:r w:rsidRPr="00BD0D85">
              <w:rPr>
                <w:rFonts w:ascii="Times New Roman" w:eastAsia="標楷體" w:hAnsi="Times New Roman" w:hint="eastAsia"/>
                <w:color w:val="000000" w:themeColor="text1"/>
                <w:szCs w:val="24"/>
              </w:rPr>
              <w:t>)</w:t>
            </w:r>
            <w:r w:rsidRPr="00BD0D85">
              <w:rPr>
                <w:rFonts w:ascii="Times New Roman" w:eastAsia="標楷體" w:hAnsi="Times New Roman"/>
                <w:color w:val="000000" w:themeColor="text1"/>
                <w:szCs w:val="24"/>
              </w:rPr>
              <w:t>。</w:t>
            </w:r>
          </w:p>
          <w:p w:rsidR="00CD6EAA" w:rsidRPr="00BD0D85" w:rsidRDefault="00CD6EAA">
            <w:pPr>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二、匯率避險策略。</w:t>
            </w:r>
          </w:p>
          <w:p w:rsidR="000C110E" w:rsidRPr="00BD0D85" w:rsidRDefault="00CD6EAA" w:rsidP="00C80DD1">
            <w:pPr>
              <w:spacing w:line="320" w:lineRule="exact"/>
              <w:ind w:left="449" w:hangingChars="187" w:hanging="449"/>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三、是否</w:t>
            </w:r>
            <w:r w:rsidR="009923BB" w:rsidRPr="00BD0D85">
              <w:rPr>
                <w:rFonts w:ascii="Times New Roman" w:eastAsia="標楷體" w:hAnsi="Times New Roman" w:hint="eastAsia"/>
                <w:color w:val="000000" w:themeColor="text1"/>
                <w:szCs w:val="24"/>
              </w:rPr>
              <w:t>運用基金</w:t>
            </w:r>
            <w:r w:rsidR="009C2296" w:rsidRPr="00BD0D85">
              <w:rPr>
                <w:rFonts w:ascii="Times New Roman" w:eastAsia="標楷體" w:hAnsi="Times New Roman" w:hint="eastAsia"/>
                <w:color w:val="000000" w:themeColor="text1"/>
                <w:szCs w:val="24"/>
              </w:rPr>
              <w:t>從事</w:t>
            </w:r>
            <w:r w:rsidR="004A39D9" w:rsidRPr="00BD0D85">
              <w:rPr>
                <w:rFonts w:ascii="Times New Roman" w:eastAsia="標楷體" w:hAnsi="Times New Roman" w:hint="eastAsia"/>
                <w:color w:val="000000" w:themeColor="text1"/>
                <w:szCs w:val="24"/>
              </w:rPr>
              <w:t>依證券投資信託基金管理辦法</w:t>
            </w:r>
            <w:r w:rsidR="000C110E" w:rsidRPr="00BD0D85">
              <w:rPr>
                <w:rFonts w:ascii="Times New Roman" w:eastAsia="標楷體" w:hAnsi="Times New Roman" w:hint="eastAsia"/>
                <w:color w:val="000000" w:themeColor="text1"/>
                <w:szCs w:val="24"/>
              </w:rPr>
              <w:t>第</w:t>
            </w:r>
            <w:r w:rsidR="000C110E" w:rsidRPr="00BD0D85">
              <w:rPr>
                <w:rFonts w:ascii="Times New Roman" w:eastAsia="標楷體" w:hAnsi="Times New Roman" w:hint="eastAsia"/>
                <w:color w:val="000000" w:themeColor="text1"/>
                <w:szCs w:val="24"/>
              </w:rPr>
              <w:t>9</w:t>
            </w:r>
            <w:r w:rsidR="000C110E" w:rsidRPr="00BD0D85">
              <w:rPr>
                <w:rFonts w:ascii="Times New Roman" w:eastAsia="標楷體" w:hAnsi="Times New Roman" w:hint="eastAsia"/>
                <w:color w:val="000000" w:themeColor="text1"/>
                <w:szCs w:val="24"/>
              </w:rPr>
              <w:t>條第</w:t>
            </w:r>
            <w:r w:rsidR="000C110E" w:rsidRPr="00BD0D85">
              <w:rPr>
                <w:rFonts w:ascii="Times New Roman" w:eastAsia="標楷體" w:hAnsi="Times New Roman" w:hint="eastAsia"/>
                <w:color w:val="000000" w:themeColor="text1"/>
                <w:szCs w:val="24"/>
              </w:rPr>
              <w:t>1</w:t>
            </w:r>
            <w:r w:rsidR="000C110E" w:rsidRPr="00BD0D85">
              <w:rPr>
                <w:rFonts w:ascii="Times New Roman" w:eastAsia="標楷體" w:hAnsi="Times New Roman" w:hint="eastAsia"/>
                <w:color w:val="000000" w:themeColor="text1"/>
                <w:szCs w:val="24"/>
              </w:rPr>
              <w:t>項第</w:t>
            </w:r>
            <w:r w:rsidR="007730C2" w:rsidRPr="00BD0D85">
              <w:rPr>
                <w:rFonts w:ascii="Times New Roman" w:eastAsia="標楷體" w:hAnsi="Times New Roman"/>
                <w:color w:val="000000" w:themeColor="text1"/>
                <w:szCs w:val="24"/>
              </w:rPr>
              <w:t>2</w:t>
            </w:r>
            <w:r w:rsidR="000C110E" w:rsidRPr="00BD0D85">
              <w:rPr>
                <w:rFonts w:ascii="Times New Roman" w:eastAsia="標楷體" w:hAnsi="Times New Roman" w:hint="eastAsia"/>
                <w:color w:val="000000" w:themeColor="text1"/>
                <w:szCs w:val="24"/>
              </w:rPr>
              <w:t>款規定，</w:t>
            </w:r>
            <w:r w:rsidR="009C2296" w:rsidRPr="00BD0D85">
              <w:rPr>
                <w:rFonts w:ascii="Times New Roman" w:eastAsia="標楷體" w:hAnsi="Times New Roman" w:hint="eastAsia"/>
                <w:color w:val="000000" w:themeColor="text1"/>
                <w:szCs w:val="24"/>
              </w:rPr>
              <w:t>需</w:t>
            </w:r>
            <w:r w:rsidR="000C110E" w:rsidRPr="00BD0D85">
              <w:rPr>
                <w:rFonts w:ascii="Times New Roman" w:eastAsia="標楷體" w:hAnsi="Times New Roman" w:hint="eastAsia"/>
                <w:color w:val="000000" w:themeColor="text1"/>
                <w:szCs w:val="24"/>
              </w:rPr>
              <w:t>經</w:t>
            </w:r>
            <w:r w:rsidR="000C110E" w:rsidRPr="00BD0D85">
              <w:rPr>
                <w:rFonts w:ascii="Times New Roman" w:eastAsia="標楷體" w:hAnsi="Times New Roman" w:hint="eastAsia"/>
                <w:color w:val="000000" w:themeColor="text1"/>
                <w:szCs w:val="24"/>
                <w:u w:val="single"/>
              </w:rPr>
              <w:t>金管會核准</w:t>
            </w:r>
            <w:r w:rsidR="000C110E" w:rsidRPr="00BD0D85">
              <w:rPr>
                <w:rFonts w:ascii="Times New Roman" w:eastAsia="標楷體" w:hAnsi="Times New Roman" w:hint="eastAsia"/>
                <w:color w:val="000000" w:themeColor="text1"/>
                <w:szCs w:val="24"/>
              </w:rPr>
              <w:t>非在交易所進行衍生自貨幣、有價證券、利率或指數之期貨、選擇權或其他金融商品交易，如</w:t>
            </w:r>
            <w:r w:rsidR="000C110E" w:rsidRPr="00BD0D85">
              <w:rPr>
                <w:rFonts w:ascii="Times New Roman" w:eastAsia="標楷體" w:hAnsi="Times New Roman" w:hint="eastAsia"/>
                <w:color w:val="000000" w:themeColor="text1"/>
                <w:szCs w:val="24"/>
              </w:rPr>
              <w:t>CDS</w:t>
            </w:r>
            <w:r w:rsidR="000C110E" w:rsidRPr="00BD0D85">
              <w:rPr>
                <w:rFonts w:ascii="Times New Roman" w:eastAsia="標楷體" w:hAnsi="Times New Roman" w:hint="eastAsia"/>
                <w:color w:val="000000" w:themeColor="text1"/>
                <w:szCs w:val="24"/>
              </w:rPr>
              <w:t>、</w:t>
            </w:r>
            <w:r w:rsidR="000C110E" w:rsidRPr="00BD0D85">
              <w:rPr>
                <w:rFonts w:ascii="Times New Roman" w:eastAsia="標楷體" w:hAnsi="Times New Roman" w:hint="eastAsia"/>
                <w:color w:val="000000" w:themeColor="text1"/>
                <w:szCs w:val="24"/>
              </w:rPr>
              <w:t>CDS Index</w:t>
            </w:r>
            <w:r w:rsidR="000C110E" w:rsidRPr="00BD0D85">
              <w:rPr>
                <w:rFonts w:ascii="Times New Roman" w:eastAsia="標楷體" w:hAnsi="Times New Roman" w:hint="eastAsia"/>
                <w:color w:val="000000" w:themeColor="text1"/>
                <w:szCs w:val="24"/>
              </w:rPr>
              <w:t>等：□是</w:t>
            </w:r>
            <w:r w:rsidR="000C110E" w:rsidRPr="00BD0D85">
              <w:rPr>
                <w:rFonts w:ascii="Times New Roman" w:eastAsia="標楷體" w:hAnsi="Times New Roman"/>
                <w:color w:val="000000" w:themeColor="text1"/>
                <w:szCs w:val="24"/>
              </w:rPr>
              <w:t xml:space="preserve"> </w:t>
            </w:r>
            <w:proofErr w:type="gramStart"/>
            <w:r w:rsidR="000C110E" w:rsidRPr="00BD0D85">
              <w:rPr>
                <w:rFonts w:ascii="Times New Roman" w:eastAsia="標楷體" w:hAnsi="Times New Roman" w:hint="eastAsia"/>
                <w:color w:val="000000" w:themeColor="text1"/>
                <w:szCs w:val="24"/>
              </w:rPr>
              <w:t>□否</w:t>
            </w:r>
            <w:proofErr w:type="gramEnd"/>
            <w:r w:rsidR="000C110E" w:rsidRPr="00BD0D85">
              <w:rPr>
                <w:rFonts w:ascii="Times New Roman" w:eastAsia="標楷體" w:hAnsi="Times New Roman" w:hint="eastAsia"/>
                <w:color w:val="000000" w:themeColor="text1"/>
                <w:szCs w:val="24"/>
              </w:rPr>
              <w:t>。</w:t>
            </w:r>
          </w:p>
          <w:p w:rsidR="000C110E" w:rsidRPr="00BD0D85" w:rsidRDefault="000C110E" w:rsidP="00C80DD1">
            <w:pPr>
              <w:spacing w:line="320" w:lineRule="exact"/>
              <w:ind w:left="449" w:hangingChars="187" w:hanging="449"/>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四、是否</w:t>
            </w:r>
            <w:r w:rsidR="009923BB" w:rsidRPr="00BD0D85">
              <w:rPr>
                <w:rFonts w:ascii="Times New Roman" w:eastAsia="標楷體" w:hAnsi="Times New Roman" w:hint="eastAsia"/>
                <w:color w:val="000000" w:themeColor="text1"/>
                <w:szCs w:val="24"/>
              </w:rPr>
              <w:t>運用基金從事</w:t>
            </w:r>
            <w:r w:rsidRPr="00BD0D85">
              <w:rPr>
                <w:rFonts w:ascii="Times New Roman" w:eastAsia="標楷體" w:hAnsi="Times New Roman" w:hint="eastAsia"/>
                <w:color w:val="000000" w:themeColor="text1"/>
                <w:szCs w:val="24"/>
              </w:rPr>
              <w:t>依證券投資信託基金管理辦法第</w:t>
            </w:r>
            <w:r w:rsidRPr="00BD0D85">
              <w:rPr>
                <w:rFonts w:ascii="Times New Roman" w:eastAsia="標楷體" w:hAnsi="Times New Roman" w:hint="eastAsia"/>
                <w:color w:val="000000" w:themeColor="text1"/>
                <w:szCs w:val="24"/>
              </w:rPr>
              <w:t>9</w:t>
            </w:r>
            <w:r w:rsidRPr="00BD0D85">
              <w:rPr>
                <w:rFonts w:ascii="Times New Roman" w:eastAsia="標楷體" w:hAnsi="Times New Roman" w:hint="eastAsia"/>
                <w:color w:val="000000" w:themeColor="text1"/>
                <w:szCs w:val="24"/>
              </w:rPr>
              <w:t>條第</w:t>
            </w:r>
            <w:r w:rsidRPr="00BD0D85">
              <w:rPr>
                <w:rFonts w:ascii="Times New Roman" w:eastAsia="標楷體" w:hAnsi="Times New Roman" w:hint="eastAsia"/>
                <w:color w:val="000000" w:themeColor="text1"/>
                <w:szCs w:val="24"/>
              </w:rPr>
              <w:t>2</w:t>
            </w:r>
            <w:r w:rsidRPr="00BD0D85">
              <w:rPr>
                <w:rFonts w:ascii="Times New Roman" w:eastAsia="標楷體" w:hAnsi="Times New Roman" w:hint="eastAsia"/>
                <w:color w:val="000000" w:themeColor="text1"/>
                <w:szCs w:val="24"/>
              </w:rPr>
              <w:t>項規定，為因應基金投資策略所需</w:t>
            </w:r>
            <w:r w:rsidR="00BF4F0B" w:rsidRPr="00BD0D85">
              <w:rPr>
                <w:rFonts w:ascii="Times New Roman" w:eastAsia="標楷體" w:hAnsi="Times New Roman" w:hint="eastAsia"/>
                <w:color w:val="000000" w:themeColor="text1"/>
                <w:szCs w:val="24"/>
              </w:rPr>
              <w:t>，需</w:t>
            </w:r>
            <w:r w:rsidRPr="00BD0D85">
              <w:rPr>
                <w:rFonts w:ascii="Times New Roman" w:eastAsia="標楷體" w:hAnsi="Times New Roman" w:hint="eastAsia"/>
                <w:color w:val="000000" w:themeColor="text1"/>
                <w:szCs w:val="24"/>
              </w:rPr>
              <w:t>經</w:t>
            </w:r>
            <w:r w:rsidRPr="00BD0D85">
              <w:rPr>
                <w:rFonts w:ascii="Times New Roman" w:eastAsia="標楷體" w:hAnsi="Times New Roman" w:hint="eastAsia"/>
                <w:color w:val="000000" w:themeColor="text1"/>
                <w:szCs w:val="24"/>
                <w:u w:val="single"/>
              </w:rPr>
              <w:t>金管會專案核准</w:t>
            </w:r>
            <w:r w:rsidR="009923BB" w:rsidRPr="00BD0D85">
              <w:rPr>
                <w:rFonts w:ascii="Times New Roman" w:eastAsia="標楷體" w:hAnsi="Times New Roman" w:hint="eastAsia"/>
                <w:color w:val="000000" w:themeColor="text1"/>
                <w:szCs w:val="24"/>
              </w:rPr>
              <w:t>之證券相關商品交易</w:t>
            </w:r>
            <w:r w:rsidRPr="00BD0D85">
              <w:rPr>
                <w:rFonts w:ascii="Times New Roman" w:eastAsia="標楷體" w:hAnsi="Times New Roman" w:hint="eastAsia"/>
                <w:color w:val="000000" w:themeColor="text1"/>
                <w:szCs w:val="24"/>
              </w:rPr>
              <w:t>：□是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w:t>
            </w:r>
          </w:p>
          <w:p w:rsidR="00CD6EAA" w:rsidRPr="00BD0D85" w:rsidRDefault="000C110E" w:rsidP="00BB7F0F">
            <w:pPr>
              <w:spacing w:line="320" w:lineRule="exact"/>
              <w:ind w:left="449" w:hangingChars="187" w:hanging="449"/>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五</w:t>
            </w:r>
            <w:r w:rsidR="00CD6EAA" w:rsidRPr="00BD0D85">
              <w:rPr>
                <w:rFonts w:ascii="Times New Roman" w:eastAsia="標楷體" w:hAnsi="Times New Roman" w:hint="eastAsia"/>
                <w:color w:val="000000" w:themeColor="text1"/>
                <w:szCs w:val="24"/>
              </w:rPr>
              <w:t>、如屬投資於海外之債券型基金，是否為增加投資效率目的，從事需經</w:t>
            </w:r>
            <w:r w:rsidR="00CD6EAA" w:rsidRPr="00BD0D85">
              <w:rPr>
                <w:rFonts w:ascii="Times New Roman" w:eastAsia="標楷體" w:hAnsi="Times New Roman" w:hint="eastAsia"/>
                <w:color w:val="000000" w:themeColor="text1"/>
                <w:szCs w:val="24"/>
                <w:u w:val="single"/>
              </w:rPr>
              <w:t>金管會核准</w:t>
            </w:r>
            <w:r w:rsidR="00CD6EAA" w:rsidRPr="00BD0D85">
              <w:rPr>
                <w:rFonts w:ascii="Times New Roman" w:eastAsia="標楷體" w:hAnsi="Times New Roman" w:hint="eastAsia"/>
                <w:color w:val="000000" w:themeColor="text1"/>
                <w:szCs w:val="24"/>
              </w:rPr>
              <w:t>之匯率遠期交易（含無本金遠期交易）或匯率交換契約：□是</w:t>
            </w:r>
            <w:r w:rsidR="00CD6EAA" w:rsidRPr="00BD0D85">
              <w:rPr>
                <w:rFonts w:ascii="Times New Roman" w:eastAsia="標楷體" w:hAnsi="Times New Roman"/>
                <w:color w:val="000000" w:themeColor="text1"/>
                <w:szCs w:val="24"/>
              </w:rPr>
              <w:t xml:space="preserve"> </w:t>
            </w:r>
            <w:proofErr w:type="gramStart"/>
            <w:r w:rsidR="00CD6EAA" w:rsidRPr="00BD0D85">
              <w:rPr>
                <w:rFonts w:ascii="Times New Roman" w:eastAsia="標楷體" w:hAnsi="Times New Roman" w:hint="eastAsia"/>
                <w:color w:val="000000" w:themeColor="text1"/>
                <w:szCs w:val="24"/>
              </w:rPr>
              <w:t>□否</w:t>
            </w:r>
            <w:proofErr w:type="gramEnd"/>
            <w:r w:rsidR="00CD6EAA" w:rsidRPr="00BD0D85">
              <w:rPr>
                <w:rFonts w:ascii="Times New Roman" w:eastAsia="標楷體" w:hAnsi="Times New Roman" w:hint="eastAsia"/>
                <w:color w:val="000000" w:themeColor="text1"/>
                <w:szCs w:val="24"/>
              </w:rPr>
              <w:t>，如是，其交易範圍是否未涉及新臺幣：□是</w:t>
            </w:r>
            <w:r w:rsidR="00CD6EAA" w:rsidRPr="00BD0D85">
              <w:rPr>
                <w:rFonts w:ascii="Times New Roman" w:eastAsia="標楷體" w:hAnsi="Times New Roman"/>
                <w:color w:val="000000" w:themeColor="text1"/>
                <w:szCs w:val="24"/>
              </w:rPr>
              <w:t xml:space="preserve"> </w:t>
            </w:r>
            <w:proofErr w:type="gramStart"/>
            <w:r w:rsidR="00CD6EAA" w:rsidRPr="00BD0D85">
              <w:rPr>
                <w:rFonts w:ascii="Times New Roman" w:eastAsia="標楷體" w:hAnsi="Times New Roman" w:hint="eastAsia"/>
                <w:color w:val="000000" w:themeColor="text1"/>
                <w:szCs w:val="24"/>
              </w:rPr>
              <w:t>□否</w:t>
            </w:r>
            <w:proofErr w:type="gramEnd"/>
            <w:r w:rsidR="00CD6EAA" w:rsidRPr="00BD0D85">
              <w:rPr>
                <w:rFonts w:ascii="Times New Roman" w:eastAsia="標楷體" w:hAnsi="Times New Roman" w:hint="eastAsia"/>
                <w:color w:val="000000" w:themeColor="text1"/>
                <w:szCs w:val="24"/>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56534E">
        <w:trPr>
          <w:trHeight w:val="953"/>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6F60DB">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2F4439">
            <w:pPr>
              <w:pStyle w:val="a7"/>
              <w:numPr>
                <w:ilvl w:val="0"/>
                <w:numId w:val="28"/>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如有預計使用之衍生性商品，</w:t>
            </w:r>
            <w:proofErr w:type="gramStart"/>
            <w:r w:rsidRPr="00BD0D85">
              <w:rPr>
                <w:rFonts w:ascii="Times New Roman" w:eastAsia="標楷體" w:hAnsi="Times New Roman"/>
                <w:color w:val="000000" w:themeColor="text1"/>
                <w:szCs w:val="24"/>
              </w:rPr>
              <w:t>請敘明</w:t>
            </w:r>
            <w:proofErr w:type="gramEnd"/>
            <w:r w:rsidRPr="00BD0D85">
              <w:rPr>
                <w:rFonts w:ascii="Times New Roman" w:eastAsia="標楷體" w:hAnsi="Times New Roman"/>
                <w:color w:val="000000" w:themeColor="text1"/>
                <w:szCs w:val="24"/>
              </w:rPr>
              <w:t>商品內容</w:t>
            </w:r>
            <w:r w:rsidRPr="00BD0D85">
              <w:rPr>
                <w:rFonts w:ascii="Times New Roman" w:eastAsia="標楷體" w:hAnsi="Times New Roman" w:hint="eastAsia"/>
                <w:color w:val="000000" w:themeColor="text1"/>
                <w:szCs w:val="24"/>
              </w:rPr>
              <w:t>及</w:t>
            </w:r>
            <w:r w:rsidRPr="00BD0D85">
              <w:rPr>
                <w:rFonts w:ascii="Times New Roman" w:eastAsia="標楷體" w:hAnsi="Times New Roman"/>
                <w:color w:val="000000" w:themeColor="text1"/>
                <w:szCs w:val="24"/>
              </w:rPr>
              <w:t>流動性</w:t>
            </w:r>
            <w:r w:rsidRPr="00BD0D85">
              <w:rPr>
                <w:rFonts w:ascii="Times New Roman" w:eastAsia="標楷體" w:hAnsi="Times New Roman" w:hint="eastAsia"/>
                <w:color w:val="000000" w:themeColor="text1"/>
                <w:szCs w:val="24"/>
              </w:rPr>
              <w:t>。若因避險需要，請另說明</w:t>
            </w:r>
            <w:r w:rsidRPr="00BD0D85">
              <w:rPr>
                <w:rFonts w:ascii="Times New Roman" w:eastAsia="標楷體" w:hAnsi="Times New Roman"/>
                <w:color w:val="000000" w:themeColor="text1"/>
                <w:szCs w:val="24"/>
              </w:rPr>
              <w:t>與</w:t>
            </w:r>
            <w:r w:rsidRPr="00BD0D85">
              <w:rPr>
                <w:rFonts w:ascii="Times New Roman" w:eastAsia="標楷體" w:hAnsi="Times New Roman" w:hint="eastAsia"/>
                <w:color w:val="000000" w:themeColor="text1"/>
                <w:szCs w:val="24"/>
              </w:rPr>
              <w:t>投資</w:t>
            </w:r>
            <w:r w:rsidRPr="00BD0D85">
              <w:rPr>
                <w:rFonts w:ascii="Times New Roman" w:eastAsia="標楷體" w:hAnsi="Times New Roman"/>
                <w:color w:val="000000" w:themeColor="text1"/>
                <w:szCs w:val="24"/>
              </w:rPr>
              <w:t>標的之相關性。</w:t>
            </w:r>
          </w:p>
          <w:p w:rsidR="00F2152D" w:rsidRPr="00BD0D85" w:rsidRDefault="00F2152D" w:rsidP="0034225E">
            <w:pPr>
              <w:pStyle w:val="a7"/>
              <w:numPr>
                <w:ilvl w:val="0"/>
                <w:numId w:val="28"/>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如有上述第三項及第五項需經金管會核准之情形，請檢附規劃報告</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含從事是類商品人員相關交易知識或經驗之證明文件及證券投資信託事業配置於是類商品之研究人員或資源之妥適性說明</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及相關控管措施</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含交易對手控管措施、停損機制、商品評價之複核機制</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w:t>
            </w:r>
          </w:p>
          <w:p w:rsidR="00F2152D" w:rsidRPr="00BD0D85" w:rsidRDefault="00F2152D" w:rsidP="005A531F">
            <w:pPr>
              <w:pStyle w:val="a7"/>
              <w:numPr>
                <w:ilvl w:val="0"/>
                <w:numId w:val="28"/>
              </w:num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如有上述第四項需經金管會核准之情形，請檢附規劃報告</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含商品流動性說明</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及相關控管措施。</w:t>
            </w:r>
          </w:p>
        </w:tc>
      </w:tr>
      <w:tr w:rsidR="00BD0D85" w:rsidRPr="00BD0D85" w:rsidTr="00BB7F0F">
        <w:trPr>
          <w:trHeight w:val="454"/>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684BF8">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938"/>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732CD5">
            <w:pPr>
              <w:spacing w:line="320" w:lineRule="exact"/>
              <w:ind w:left="360" w:hanging="36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四</w:t>
            </w: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投資風險是否已適當揭露於公開說明書封面及內頁。</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732CD5">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CD6EAA" w:rsidRPr="00BD0D85" w:rsidRDefault="00CD6EAA" w:rsidP="00732CD5">
            <w:pPr>
              <w:widowControl/>
              <w:spacing w:line="320" w:lineRule="exact"/>
              <w:rPr>
                <w:rFonts w:ascii="Times New Roman" w:eastAsia="標楷體" w:hAnsi="Times New Roman"/>
                <w:color w:val="000000" w:themeColor="text1"/>
                <w:szCs w:val="24"/>
              </w:rPr>
            </w:pPr>
            <w:proofErr w:type="gramStart"/>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roofErr w:type="gramEnd"/>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6F60DB">
            <w:pPr>
              <w:spacing w:line="320" w:lineRule="exact"/>
              <w:ind w:left="480" w:hanging="48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一、公開說明書封面</w:t>
            </w:r>
            <w:r w:rsidRPr="00BD0D85">
              <w:rPr>
                <w:rFonts w:ascii="Times New Roman" w:eastAsia="標楷體" w:hAnsi="Times New Roman" w:hint="eastAsia"/>
                <w:color w:val="000000" w:themeColor="text1"/>
                <w:szCs w:val="24"/>
              </w:rPr>
              <w:t>依規定揭露投資風險。</w:t>
            </w:r>
          </w:p>
          <w:p w:rsidR="00CD6EAA" w:rsidRPr="00BD0D85" w:rsidRDefault="00CD6EAA" w:rsidP="00D445C3">
            <w:pPr>
              <w:spacing w:line="320" w:lineRule="exact"/>
              <w:ind w:left="480" w:hanging="480"/>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w:t>
            </w:r>
            <w:r w:rsidRPr="00BD0D85">
              <w:rPr>
                <w:rFonts w:ascii="Times New Roman" w:eastAsia="標楷體" w:hAnsi="Times New Roman"/>
                <w:color w:val="000000" w:themeColor="text1"/>
                <w:szCs w:val="24"/>
              </w:rPr>
              <w:t>公開說明書</w:t>
            </w:r>
            <w:r w:rsidRPr="00BD0D85">
              <w:rPr>
                <w:rFonts w:ascii="Times New Roman" w:eastAsia="標楷體" w:hAnsi="Times New Roman" w:hint="eastAsia"/>
                <w:color w:val="000000" w:themeColor="text1"/>
                <w:szCs w:val="24"/>
              </w:rPr>
              <w:t>內頁：</w:t>
            </w:r>
          </w:p>
          <w:p w:rsidR="00CD6EAA" w:rsidRPr="00BD0D85" w:rsidRDefault="00CD6EAA" w:rsidP="00B5084B">
            <w:pPr>
              <w:spacing w:line="320" w:lineRule="exact"/>
              <w:ind w:left="880" w:hanging="480"/>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w:t>
            </w:r>
            <w:proofErr w:type="gramStart"/>
            <w:r w:rsidRPr="00BD0D85">
              <w:rPr>
                <w:rFonts w:ascii="Times New Roman" w:eastAsia="標楷體" w:hAnsi="Times New Roman" w:hint="eastAsia"/>
                <w:color w:val="000000" w:themeColor="text1"/>
                <w:szCs w:val="24"/>
              </w:rPr>
              <w:t>一</w:t>
            </w:r>
            <w:proofErr w:type="gramEnd"/>
            <w:r w:rsidRPr="00BD0D85">
              <w:rPr>
                <w:rFonts w:ascii="Times New Roman" w:eastAsia="標楷體" w:hAnsi="Times New Roman" w:hint="eastAsia"/>
                <w:color w:val="000000" w:themeColor="text1"/>
                <w:szCs w:val="24"/>
              </w:rPr>
              <w:t>)</w:t>
            </w:r>
            <w:r w:rsidRPr="00BD0D85">
              <w:rPr>
                <w:rFonts w:ascii="Times New Roman" w:eastAsia="標楷體" w:hAnsi="Times New Roman"/>
                <w:color w:val="000000" w:themeColor="text1"/>
                <w:szCs w:val="24"/>
              </w:rPr>
              <w:t>基金特性</w:t>
            </w:r>
            <w:r w:rsidRPr="00BD0D85">
              <w:rPr>
                <w:rFonts w:ascii="Times New Roman" w:eastAsia="標楷體" w:hAnsi="Times New Roman" w:hint="eastAsia"/>
                <w:color w:val="000000" w:themeColor="text1"/>
                <w:szCs w:val="24"/>
              </w:rPr>
              <w:t>、波動度及</w:t>
            </w:r>
            <w:r w:rsidRPr="00BD0D85">
              <w:rPr>
                <w:rFonts w:ascii="Times New Roman" w:eastAsia="標楷體" w:hAnsi="Times New Roman"/>
                <w:color w:val="000000" w:themeColor="text1"/>
                <w:szCs w:val="24"/>
              </w:rPr>
              <w:t>所參酌之基金風險報酬等級</w:t>
            </w:r>
            <w:r w:rsidRPr="00BD0D85">
              <w:rPr>
                <w:rFonts w:ascii="Times New Roman" w:eastAsia="標楷體" w:hAnsi="Times New Roman" w:hint="eastAsia"/>
                <w:color w:val="000000" w:themeColor="text1"/>
                <w:szCs w:val="24"/>
              </w:rPr>
              <w:t>。</w:t>
            </w:r>
          </w:p>
          <w:p w:rsidR="00CD6EAA" w:rsidRPr="00BD0D85" w:rsidRDefault="00CD6EAA" w:rsidP="00B5084B">
            <w:pPr>
              <w:spacing w:line="320" w:lineRule="exact"/>
              <w:ind w:left="880" w:hanging="480"/>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二</w:t>
            </w:r>
            <w:r w:rsidRPr="00BD0D85">
              <w:rPr>
                <w:rFonts w:ascii="Times New Roman" w:eastAsia="標楷體" w:hAnsi="Times New Roman" w:hint="eastAsia"/>
                <w:color w:val="000000" w:themeColor="text1"/>
                <w:szCs w:val="24"/>
              </w:rPr>
              <w:t>)</w:t>
            </w:r>
            <w:r w:rsidRPr="00BD0D85">
              <w:rPr>
                <w:rFonts w:ascii="Times New Roman" w:eastAsia="標楷體" w:hAnsi="Times New Roman"/>
                <w:color w:val="000000" w:themeColor="text1"/>
                <w:szCs w:val="24"/>
              </w:rPr>
              <w:t>投資人屬性分析。</w:t>
            </w:r>
          </w:p>
          <w:p w:rsidR="00CD6EAA" w:rsidRPr="00BD0D85" w:rsidRDefault="00CD6EAA" w:rsidP="004F6173">
            <w:pPr>
              <w:spacing w:line="320" w:lineRule="exact"/>
              <w:ind w:left="480" w:hanging="6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三</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基金之政經風險。</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732CD5">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454"/>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732CD5">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732CD5">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BB7F0F">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補充說明事項：</w:t>
            </w:r>
          </w:p>
        </w:tc>
      </w:tr>
      <w:tr w:rsidR="00BD0D85" w:rsidRPr="00BD0D85" w:rsidTr="00BB7F0F">
        <w:trPr>
          <w:trHeight w:val="454"/>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732CD5">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732CD5">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2C4" w:rsidRPr="00BD0D85" w:rsidRDefault="00B043A0" w:rsidP="00BB7F0F">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1034"/>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630F6C">
            <w:pPr>
              <w:ind w:left="410" w:hangingChars="171" w:hanging="410"/>
              <w:jc w:val="both"/>
              <w:rPr>
                <w:color w:val="000000" w:themeColor="text1"/>
              </w:rPr>
            </w:pPr>
            <w:r w:rsidRPr="00BD0D85">
              <w:rPr>
                <w:rFonts w:ascii="Times New Roman" w:eastAsia="標楷體" w:hAnsi="Times New Roman"/>
                <w:color w:val="000000" w:themeColor="text1"/>
                <w:szCs w:val="24"/>
              </w:rPr>
              <w:lastRenderedPageBreak/>
              <w:t>(</w:t>
            </w:r>
            <w:r w:rsidRPr="00BD0D85">
              <w:rPr>
                <w:rFonts w:ascii="Times New Roman" w:eastAsia="標楷體" w:hAnsi="Times New Roman" w:hint="eastAsia"/>
                <w:color w:val="000000" w:themeColor="text1"/>
                <w:szCs w:val="24"/>
              </w:rPr>
              <w:t>五</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投資國外特定投資標的（如</w:t>
            </w:r>
            <w:r w:rsidRPr="00BD0D85">
              <w:rPr>
                <w:rFonts w:ascii="Times New Roman" w:eastAsia="標楷體" w:hAnsi="Times New Roman"/>
                <w:color w:val="000000" w:themeColor="text1"/>
                <w:szCs w:val="24"/>
              </w:rPr>
              <w:t>MBS</w:t>
            </w:r>
            <w:r w:rsidRPr="00BD0D85">
              <w:rPr>
                <w:rFonts w:ascii="Times New Roman" w:eastAsia="標楷體" w:hAnsi="Times New Roman" w:hint="eastAsia"/>
                <w:color w:val="000000" w:themeColor="text1"/>
                <w:szCs w:val="24"/>
              </w:rPr>
              <w:t>、</w:t>
            </w:r>
            <w:r w:rsidRPr="00BD0D85">
              <w:rPr>
                <w:rFonts w:ascii="Times New Roman" w:eastAsia="標楷體" w:hAnsi="Times New Roman"/>
                <w:color w:val="000000" w:themeColor="text1"/>
                <w:szCs w:val="24"/>
              </w:rPr>
              <w:t>ABS</w:t>
            </w:r>
            <w:r w:rsidRPr="00BD0D85">
              <w:rPr>
                <w:rFonts w:ascii="Times New Roman" w:eastAsia="標楷體" w:hAnsi="Times New Roman" w:hint="eastAsia"/>
                <w:color w:val="000000" w:themeColor="text1"/>
                <w:szCs w:val="24"/>
              </w:rPr>
              <w:t>、</w:t>
            </w:r>
            <w:r w:rsidRPr="00BD0D85">
              <w:rPr>
                <w:rFonts w:ascii="Times New Roman" w:eastAsia="標楷體" w:hAnsi="Times New Roman"/>
                <w:color w:val="000000" w:themeColor="text1"/>
                <w:szCs w:val="24"/>
              </w:rPr>
              <w:t>REITs</w:t>
            </w:r>
            <w:r w:rsidRPr="00BD0D85">
              <w:rPr>
                <w:rFonts w:ascii="Times New Roman" w:eastAsia="標楷體" w:hAnsi="Times New Roman" w:hint="eastAsia"/>
                <w:color w:val="000000" w:themeColor="text1"/>
                <w:szCs w:val="24"/>
              </w:rPr>
              <w:t>、</w:t>
            </w:r>
            <w:r w:rsidRPr="00BD0D85">
              <w:rPr>
                <w:rFonts w:ascii="Times New Roman" w:eastAsia="標楷體" w:hAnsi="Times New Roman"/>
                <w:color w:val="000000" w:themeColor="text1"/>
                <w:szCs w:val="24"/>
              </w:rPr>
              <w:t>Income Trust</w:t>
            </w:r>
            <w:r w:rsidRPr="00BD0D85">
              <w:rPr>
                <w:rFonts w:ascii="Times New Roman" w:eastAsia="標楷體" w:hAnsi="Times New Roman" w:hint="eastAsia"/>
                <w:color w:val="000000" w:themeColor="text1"/>
                <w:szCs w:val="24"/>
              </w:rPr>
              <w:t>等），是否已於公開說明書之主要投資地區經濟環境及證券市場中，揭露該投資標的之國外市場概況。</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732CD5">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CD6EAA" w:rsidRPr="00BD0D85" w:rsidRDefault="00CD6EAA" w:rsidP="00732CD5">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CD6EAA" w:rsidRPr="00BD0D85" w:rsidRDefault="00CD6EAA" w:rsidP="00732CD5">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732CD5">
            <w:pPr>
              <w:spacing w:line="320" w:lineRule="exact"/>
              <w:ind w:left="480" w:hanging="480"/>
              <w:rPr>
                <w:rFonts w:ascii="Times New Roman" w:eastAsia="標楷體" w:hAnsi="Times New Roman"/>
                <w:color w:val="000000" w:themeColor="text1"/>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732CD5">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50A09">
        <w:trPr>
          <w:trHeight w:val="1034"/>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color w:val="000000" w:themeColor="text1"/>
                <w:szCs w:val="24"/>
              </w:rPr>
              <w:t>補充說明事項：</w:t>
            </w:r>
          </w:p>
        </w:tc>
      </w:tr>
      <w:tr w:rsidR="00BD0D85" w:rsidRPr="00BD0D85" w:rsidTr="00D9709D">
        <w:trPr>
          <w:trHeight w:val="1034"/>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BB7F0F">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960"/>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630F6C">
            <w:pPr>
              <w:widowControl/>
              <w:numPr>
                <w:ilvl w:val="0"/>
                <w:numId w:val="1"/>
              </w:numPr>
              <w:spacing w:line="320" w:lineRule="exact"/>
              <w:ind w:left="462" w:hanging="565"/>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國外投資顧問所提供服務方式、內容及收費。</w:t>
            </w:r>
          </w:p>
          <w:p w:rsidR="00CD6EAA" w:rsidRPr="00BD0D85" w:rsidRDefault="00CD6EAA" w:rsidP="00D64A80">
            <w:pPr>
              <w:widowControl/>
              <w:spacing w:line="320" w:lineRule="exact"/>
              <w:ind w:leftChars="2" w:left="413" w:hangingChars="170" w:hanging="408"/>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w:t>
            </w:r>
            <w:proofErr w:type="gramStart"/>
            <w:r w:rsidRPr="00BD0D85">
              <w:rPr>
                <w:rFonts w:ascii="Times New Roman" w:eastAsia="標楷體" w:hAnsi="Times New Roman" w:hint="eastAsia"/>
                <w:color w:val="000000" w:themeColor="text1"/>
                <w:szCs w:val="24"/>
              </w:rPr>
              <w:t>一</w:t>
            </w:r>
            <w:proofErr w:type="gramEnd"/>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投資國外，無國外投資顧問者，經理能力是否合理。</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732CD5">
            <w:pPr>
              <w:widowControl/>
              <w:spacing w:line="320" w:lineRule="exact"/>
              <w:rPr>
                <w:rFonts w:ascii="標楷體" w:eastAsia="標楷體" w:hAnsi="標楷體"/>
                <w:color w:val="000000" w:themeColor="text1"/>
                <w:szCs w:val="24"/>
              </w:rPr>
            </w:pPr>
          </w:p>
          <w:p w:rsidR="00CD6EAA" w:rsidRPr="00BD0D85" w:rsidRDefault="00CD6EAA" w:rsidP="00732CD5">
            <w:pPr>
              <w:widowControl/>
              <w:spacing w:line="320" w:lineRule="exact"/>
              <w:rPr>
                <w:rFonts w:ascii="標楷體" w:eastAsia="標楷體" w:hAnsi="標楷體"/>
                <w:color w:val="000000" w:themeColor="text1"/>
                <w:szCs w:val="24"/>
              </w:rPr>
            </w:pPr>
          </w:p>
          <w:p w:rsidR="00CD6EAA" w:rsidRPr="00BD0D85" w:rsidRDefault="00CD6EAA" w:rsidP="00732CD5">
            <w:pPr>
              <w:widowControl/>
              <w:spacing w:line="320" w:lineRule="exact"/>
              <w:rPr>
                <w:rFonts w:ascii="標楷體" w:eastAsia="標楷體" w:hAnsi="標楷體"/>
                <w:color w:val="000000" w:themeColor="text1"/>
                <w:szCs w:val="24"/>
              </w:rPr>
            </w:pPr>
          </w:p>
          <w:p w:rsidR="00CD6EAA" w:rsidRPr="00BD0D85" w:rsidRDefault="00CD6EAA" w:rsidP="00732CD5">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CD6EAA" w:rsidRPr="00BD0D85" w:rsidRDefault="00CD6EAA" w:rsidP="00732CD5">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CD6EAA" w:rsidRPr="00BD0D85" w:rsidRDefault="00CD6EAA">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1C2E2A">
            <w:pPr>
              <w:spacing w:line="320" w:lineRule="exact"/>
              <w:ind w:firstLineChars="10" w:firstLine="24"/>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一、請簡述公司之經理能力。</w:t>
            </w:r>
          </w:p>
          <w:p w:rsidR="00CD6EAA" w:rsidRPr="00BD0D85" w:rsidRDefault="00CD6EAA" w:rsidP="00BB7F0F">
            <w:pPr>
              <w:spacing w:line="320" w:lineRule="exact"/>
              <w:ind w:firstLineChars="10" w:firstLine="24"/>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二、請說明基金經理人及研究人員配置狀況。</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454"/>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BB7F0F">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補充說明事項：</w:t>
            </w:r>
          </w:p>
        </w:tc>
      </w:tr>
      <w:tr w:rsidR="00BD0D85" w:rsidRPr="00BD0D85" w:rsidTr="00BB7F0F">
        <w:trPr>
          <w:trHeight w:val="433"/>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BB7F0F">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974"/>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E24F9" w:rsidRPr="00BD0D85" w:rsidRDefault="00CD6EAA" w:rsidP="006E24F9">
            <w:pPr>
              <w:widowControl/>
              <w:spacing w:line="320" w:lineRule="exact"/>
              <w:ind w:left="408" w:hangingChars="170" w:hanging="408"/>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二</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投資國外，有委託國外投資顧問者</w:t>
            </w:r>
            <w:r w:rsidR="006E24F9" w:rsidRPr="00BD0D85">
              <w:rPr>
                <w:rFonts w:ascii="Times New Roman" w:eastAsia="標楷體" w:hAnsi="Times New Roman" w:hint="eastAsia"/>
                <w:color w:val="000000" w:themeColor="text1"/>
                <w:szCs w:val="24"/>
              </w:rPr>
              <w:t>：</w:t>
            </w:r>
          </w:p>
          <w:p w:rsidR="006E24F9" w:rsidRPr="00BD0D85" w:rsidRDefault="006E24F9" w:rsidP="006E24F9">
            <w:pPr>
              <w:widowControl/>
              <w:spacing w:line="320" w:lineRule="exact"/>
              <w:ind w:leftChars="127" w:left="461" w:hangingChars="65" w:hanging="15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1.</w:t>
            </w:r>
            <w:r w:rsidR="00CD6EAA" w:rsidRPr="00BD0D85">
              <w:rPr>
                <w:rFonts w:ascii="Times New Roman" w:eastAsia="標楷體" w:hAnsi="Times New Roman" w:hint="eastAsia"/>
                <w:color w:val="000000" w:themeColor="text1"/>
                <w:szCs w:val="24"/>
              </w:rPr>
              <w:t>顧問費率是否合理。</w:t>
            </w:r>
          </w:p>
          <w:p w:rsidR="006E24F9" w:rsidRPr="00BD0D85" w:rsidRDefault="006E24F9" w:rsidP="006E24F9">
            <w:pPr>
              <w:widowControl/>
              <w:spacing w:line="320" w:lineRule="exact"/>
              <w:ind w:leftChars="127" w:left="461" w:hangingChars="65" w:hanging="156"/>
              <w:jc w:val="both"/>
              <w:rPr>
                <w:rFonts w:ascii="Times New Roman" w:eastAsia="標楷體" w:hAnsi="Times New Roman"/>
                <w:color w:val="000000" w:themeColor="text1"/>
                <w:szCs w:val="24"/>
              </w:rPr>
            </w:pPr>
          </w:p>
          <w:p w:rsidR="006E24F9" w:rsidRPr="00BD0D85" w:rsidRDefault="006E24F9" w:rsidP="006E24F9">
            <w:pPr>
              <w:widowControl/>
              <w:spacing w:line="320" w:lineRule="exact"/>
              <w:ind w:leftChars="127" w:left="461" w:hangingChars="65" w:hanging="156"/>
              <w:jc w:val="both"/>
              <w:rPr>
                <w:rFonts w:ascii="Times New Roman" w:eastAsia="標楷體" w:hAnsi="Times New Roman"/>
                <w:color w:val="000000" w:themeColor="text1"/>
                <w:szCs w:val="24"/>
              </w:rPr>
            </w:pPr>
          </w:p>
          <w:p w:rsidR="006E24F9" w:rsidRPr="00BD0D85" w:rsidRDefault="006E24F9" w:rsidP="006E24F9">
            <w:pPr>
              <w:widowControl/>
              <w:spacing w:line="320" w:lineRule="exact"/>
              <w:ind w:leftChars="127" w:left="461" w:hangingChars="65" w:hanging="156"/>
              <w:jc w:val="both"/>
              <w:rPr>
                <w:rFonts w:ascii="Times New Roman" w:eastAsia="標楷體" w:hAnsi="Times New Roman"/>
                <w:color w:val="000000" w:themeColor="text1"/>
                <w:szCs w:val="24"/>
              </w:rPr>
            </w:pPr>
          </w:p>
          <w:p w:rsidR="00CD6EAA" w:rsidRPr="00BD0D85" w:rsidRDefault="006E24F9" w:rsidP="006E24F9">
            <w:pPr>
              <w:widowControl/>
              <w:spacing w:line="320" w:lineRule="exact"/>
              <w:ind w:leftChars="127" w:left="461" w:hangingChars="65" w:hanging="156"/>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2.</w:t>
            </w:r>
            <w:r w:rsidR="00CD6EAA" w:rsidRPr="00BD0D85">
              <w:rPr>
                <w:rFonts w:ascii="Times New Roman" w:eastAsia="標楷體" w:hAnsi="Times New Roman" w:hint="eastAsia"/>
                <w:color w:val="000000" w:themeColor="text1"/>
                <w:szCs w:val="24"/>
              </w:rPr>
              <w:t>所訂定技術移轉約定或人才培育計畫是否具體合理。</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E24F9" w:rsidRPr="00BD0D85" w:rsidRDefault="006E24F9" w:rsidP="009C3072">
            <w:pPr>
              <w:widowControl/>
              <w:spacing w:line="320" w:lineRule="exact"/>
              <w:rPr>
                <w:rFonts w:ascii="標楷體" w:eastAsia="標楷體" w:hAnsi="標楷體"/>
                <w:color w:val="000000" w:themeColor="text1"/>
                <w:szCs w:val="24"/>
              </w:rPr>
            </w:pPr>
          </w:p>
          <w:p w:rsidR="006E24F9" w:rsidRPr="00BD0D85" w:rsidRDefault="006E24F9" w:rsidP="009C3072">
            <w:pPr>
              <w:widowControl/>
              <w:spacing w:line="320" w:lineRule="exact"/>
              <w:rPr>
                <w:rFonts w:ascii="標楷體" w:eastAsia="標楷體" w:hAnsi="標楷體"/>
                <w:color w:val="000000" w:themeColor="text1"/>
                <w:szCs w:val="24"/>
              </w:rPr>
            </w:pPr>
          </w:p>
          <w:p w:rsidR="00CD6EAA" w:rsidRPr="00BD0D85" w:rsidRDefault="00CD6EAA" w:rsidP="009C3072">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CD6EAA" w:rsidRPr="00BD0D85" w:rsidRDefault="00CD6EAA" w:rsidP="009C3072">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CD6EAA" w:rsidRPr="00BD0D85" w:rsidRDefault="00CD6EAA" w:rsidP="009C3072">
            <w:pPr>
              <w:widowControl/>
              <w:spacing w:line="320" w:lineRule="exact"/>
              <w:rPr>
                <w:rFonts w:ascii="Times New Roman" w:eastAsia="標楷體" w:hAnsi="Times New Roman"/>
                <w:color w:val="000000" w:themeColor="text1"/>
                <w:sz w:val="22"/>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p w:rsidR="006E24F9" w:rsidRPr="00BD0D85" w:rsidRDefault="006E24F9" w:rsidP="009C3072">
            <w:pPr>
              <w:widowControl/>
              <w:spacing w:line="320" w:lineRule="exact"/>
              <w:rPr>
                <w:rFonts w:ascii="Times New Roman" w:eastAsia="標楷體" w:hAnsi="Times New Roman"/>
                <w:color w:val="000000" w:themeColor="text1"/>
                <w:sz w:val="22"/>
                <w:szCs w:val="24"/>
              </w:rPr>
            </w:pPr>
          </w:p>
          <w:p w:rsidR="006E24F9" w:rsidRPr="00BD0D85" w:rsidRDefault="006E24F9" w:rsidP="009C3072">
            <w:pPr>
              <w:widowControl/>
              <w:spacing w:line="320" w:lineRule="exact"/>
              <w:rPr>
                <w:rFonts w:ascii="Times New Roman" w:eastAsia="標楷體" w:hAnsi="Times New Roman"/>
                <w:color w:val="000000" w:themeColor="text1"/>
                <w:sz w:val="22"/>
                <w:szCs w:val="24"/>
              </w:rPr>
            </w:pPr>
          </w:p>
          <w:p w:rsidR="006E24F9" w:rsidRPr="00BD0D85" w:rsidRDefault="006E24F9" w:rsidP="006E24F9">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6E24F9" w:rsidRPr="00BD0D85" w:rsidRDefault="006E24F9" w:rsidP="006E24F9">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6E24F9" w:rsidRPr="00BD0D85" w:rsidRDefault="006E24F9" w:rsidP="006E24F9">
            <w:pPr>
              <w:widowControl/>
              <w:spacing w:line="320" w:lineRule="exact"/>
              <w:rPr>
                <w:rFonts w:ascii="標楷體" w:eastAsia="標楷體" w:hAnsi="標楷體"/>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1C2E2A">
            <w:pPr>
              <w:spacing w:line="320" w:lineRule="exact"/>
              <w:ind w:left="480" w:hangingChars="200" w:hanging="480"/>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一、國外投資顧問所提供服務方式、內容、費率及收費方式。</w:t>
            </w:r>
          </w:p>
          <w:p w:rsidR="00CD6EAA" w:rsidRPr="00BD0D85" w:rsidRDefault="00CD6EAA" w:rsidP="00BB7F0F">
            <w:pPr>
              <w:spacing w:line="320" w:lineRule="exact"/>
              <w:ind w:left="480" w:hangingChars="200" w:hanging="480"/>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二、本基金如有委託該國外投資顧問公司提供集中交易服務間接向國外證券商委託交易，請說明委託方式及委託費率。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EAA" w:rsidRPr="00BD0D85" w:rsidRDefault="00CD6EAA" w:rsidP="003A7D34">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4B2FE4">
        <w:trPr>
          <w:trHeight w:val="974"/>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630F6C">
            <w:pPr>
              <w:widowControl/>
              <w:numPr>
                <w:ilvl w:val="0"/>
                <w:numId w:val="1"/>
              </w:numPr>
              <w:spacing w:line="320" w:lineRule="exact"/>
              <w:ind w:left="355" w:hanging="458"/>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3A7D34">
            <w:pPr>
              <w:widowControl/>
              <w:spacing w:line="320" w:lineRule="exact"/>
              <w:rPr>
                <w:rFonts w:ascii="標楷體" w:eastAsia="標楷體" w:hAnsi="標楷體"/>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1C2E2A">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補充說明事項：</w:t>
            </w:r>
          </w:p>
          <w:p w:rsidR="00F2152D" w:rsidRPr="00BD0D85" w:rsidRDefault="00F2152D" w:rsidP="00CC5FDF">
            <w:pPr>
              <w:pStyle w:val="a7"/>
              <w:numPr>
                <w:ilvl w:val="0"/>
                <w:numId w:val="8"/>
              </w:numPr>
              <w:spacing w:line="320" w:lineRule="exact"/>
              <w:ind w:rightChars="-42" w:right="-101"/>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該國外投資顧問公司是否為本案投信公司之同集團企業：□是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w:t>
            </w:r>
          </w:p>
          <w:p w:rsidR="00F2152D" w:rsidRPr="00BD0D85" w:rsidRDefault="00F2152D" w:rsidP="00CC5FDF">
            <w:pPr>
              <w:pStyle w:val="a7"/>
              <w:numPr>
                <w:ilvl w:val="0"/>
                <w:numId w:val="8"/>
              </w:numPr>
              <w:spacing w:line="320" w:lineRule="exact"/>
              <w:ind w:rightChars="-42" w:right="-101"/>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遴選過程及決定考量。</w:t>
            </w:r>
          </w:p>
          <w:p w:rsidR="00F2152D" w:rsidRPr="00BD0D85" w:rsidRDefault="00F2152D" w:rsidP="00CC5FDF">
            <w:pPr>
              <w:pStyle w:val="a7"/>
              <w:numPr>
                <w:ilvl w:val="0"/>
                <w:numId w:val="8"/>
              </w:numPr>
              <w:spacing w:line="320" w:lineRule="exact"/>
              <w:ind w:rightChars="-42" w:right="-101"/>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請列舉國外投資顧問公司曾經或現今管理之基金名稱、基金規模及性質等。</w:t>
            </w:r>
          </w:p>
          <w:p w:rsidR="00F2152D" w:rsidRPr="00BD0D85" w:rsidRDefault="00F2152D" w:rsidP="00CC5FDF">
            <w:pPr>
              <w:pStyle w:val="a7"/>
              <w:numPr>
                <w:ilvl w:val="0"/>
                <w:numId w:val="8"/>
              </w:numPr>
              <w:spacing w:line="320" w:lineRule="exact"/>
              <w:ind w:rightChars="-42" w:right="-101"/>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請說明顧問費率及委託提供集中交易服務費率是否合理，並與其他基金之費率比較。</w:t>
            </w:r>
          </w:p>
          <w:p w:rsidR="00F2152D" w:rsidRPr="00BD0D85" w:rsidRDefault="00F2152D" w:rsidP="00CC5FDF">
            <w:pPr>
              <w:pStyle w:val="a7"/>
              <w:numPr>
                <w:ilvl w:val="0"/>
                <w:numId w:val="8"/>
              </w:numPr>
              <w:spacing w:line="320" w:lineRule="exact"/>
              <w:ind w:rightChars="-42" w:right="-101"/>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是否有機制管理國外投資顧問公司推薦與其有利害關係的企業所發行之投資標的。</w:t>
            </w:r>
          </w:p>
          <w:p w:rsidR="00F2152D" w:rsidRPr="00BD0D85" w:rsidRDefault="00F2152D" w:rsidP="00CC5FDF">
            <w:pPr>
              <w:pStyle w:val="a7"/>
              <w:numPr>
                <w:ilvl w:val="0"/>
                <w:numId w:val="8"/>
              </w:numPr>
              <w:spacing w:line="320" w:lineRule="exact"/>
              <w:ind w:rightChars="-42" w:right="-101"/>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本基金所訂定技術移轉約定或人才培育計畫是否合理具體</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包含方式、頻率、時數等</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w:t>
            </w:r>
          </w:p>
          <w:p w:rsidR="00F2152D" w:rsidRPr="00BD0D85" w:rsidRDefault="00F2152D" w:rsidP="00BB7F0F">
            <w:pPr>
              <w:pStyle w:val="a7"/>
              <w:numPr>
                <w:ilvl w:val="0"/>
                <w:numId w:val="8"/>
              </w:numPr>
              <w:spacing w:line="320" w:lineRule="exact"/>
              <w:ind w:rightChars="-42" w:right="-101"/>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就現有簽訂顧問契約之所有基金，提供其技術移轉約定或教育訓練辦理情形並檢附相關佐證資料。</w:t>
            </w:r>
          </w:p>
        </w:tc>
      </w:tr>
      <w:tr w:rsidR="00BD0D85" w:rsidRPr="00BD0D85" w:rsidTr="00BB7F0F">
        <w:trPr>
          <w:trHeight w:val="379"/>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CD6EAA">
            <w:pPr>
              <w:widowControl/>
              <w:spacing w:line="320" w:lineRule="exact"/>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3A7D34">
            <w:pPr>
              <w:widowControl/>
              <w:spacing w:line="320" w:lineRule="exact"/>
              <w:rPr>
                <w:rFonts w:ascii="標楷體" w:eastAsia="標楷體" w:hAnsi="標楷體"/>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5C42C4">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690"/>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630F6C">
            <w:pPr>
              <w:widowControl/>
              <w:numPr>
                <w:ilvl w:val="0"/>
                <w:numId w:val="1"/>
              </w:numPr>
              <w:spacing w:line="320" w:lineRule="exact"/>
              <w:ind w:left="355" w:hanging="458"/>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投資國外者，是否具體說明其國外資產之淨值計算方式、時點、使用之匯率及評價資訊取得。</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3A7D3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2466C4" w:rsidRPr="00BD0D85" w:rsidRDefault="002466C4" w:rsidP="003A7D3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2466C4" w:rsidRPr="00BD0D85" w:rsidRDefault="002466C4" w:rsidP="003A7D34">
            <w:pPr>
              <w:widowControl/>
              <w:spacing w:line="320" w:lineRule="exact"/>
              <w:rPr>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6F60DB">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一、是否符合證券投資信託基金資產價值之計算標準。</w:t>
            </w:r>
          </w:p>
          <w:p w:rsidR="002466C4" w:rsidRPr="00BD0D85" w:rsidRDefault="002466C4" w:rsidP="006F60DB">
            <w:pPr>
              <w:spacing w:line="320" w:lineRule="exact"/>
              <w:ind w:left="454" w:hanging="454"/>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二、</w:t>
            </w:r>
            <w:r w:rsidRPr="00BD0D85">
              <w:rPr>
                <w:rFonts w:ascii="Times New Roman" w:eastAsia="標楷體" w:hAnsi="Times New Roman" w:hint="eastAsia"/>
                <w:color w:val="000000" w:themeColor="text1"/>
                <w:szCs w:val="24"/>
              </w:rPr>
              <w:t>如</w:t>
            </w:r>
            <w:r w:rsidRPr="00BD0D85">
              <w:rPr>
                <w:rFonts w:ascii="Times New Roman" w:eastAsia="標楷體" w:hAnsi="Times New Roman"/>
                <w:color w:val="000000" w:themeColor="text1"/>
                <w:szCs w:val="24"/>
              </w:rPr>
              <w:t>以國外受託保管機構提供之價格作為資訊來源，是否有覆核價格資訊正確性之方式。</w:t>
            </w:r>
          </w:p>
          <w:p w:rsidR="002466C4" w:rsidRPr="00BD0D85" w:rsidRDefault="002466C4" w:rsidP="006F60DB">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三、使用之匯率及評價資訊之取得是否載明於信託契約。</w:t>
            </w:r>
          </w:p>
          <w:p w:rsidR="002466C4" w:rsidRPr="00BD0D85" w:rsidRDefault="002466C4" w:rsidP="002466C4">
            <w:pPr>
              <w:spacing w:line="320" w:lineRule="exact"/>
              <w:ind w:left="454" w:hangingChars="189" w:hanging="454"/>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四、若無法取得國外報價資訊之處理方式。</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3A7D34">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454"/>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3A7D34">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3A7D34">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3A7D34">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color w:val="000000" w:themeColor="text1"/>
                <w:szCs w:val="24"/>
              </w:rPr>
              <w:t>補充說明事項：</w:t>
            </w:r>
          </w:p>
        </w:tc>
      </w:tr>
      <w:tr w:rsidR="00BD0D85" w:rsidRPr="00BD0D85" w:rsidTr="00BB7F0F">
        <w:trPr>
          <w:trHeight w:val="454"/>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3A7D34">
            <w:pPr>
              <w:spacing w:line="320" w:lineRule="exact"/>
              <w:ind w:left="360" w:hanging="360"/>
              <w:jc w:val="both"/>
              <w:rPr>
                <w:rFonts w:ascii="Times New Roman" w:eastAsia="標楷體" w:hAnsi="Times New Roman"/>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3A7D34">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BB7F0F">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20"/>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widowControl/>
              <w:numPr>
                <w:ilvl w:val="0"/>
                <w:numId w:val="1"/>
              </w:numPr>
              <w:spacing w:line="320" w:lineRule="exact"/>
              <w:ind w:left="462" w:hanging="565"/>
              <w:jc w:val="both"/>
              <w:rPr>
                <w:rFonts w:ascii="Times New Roman" w:eastAsia="標楷體" w:hAnsi="Times New Roman"/>
                <w:b/>
                <w:color w:val="000000" w:themeColor="text1"/>
                <w:szCs w:val="24"/>
              </w:rPr>
            </w:pPr>
            <w:r w:rsidRPr="00BD0D85">
              <w:rPr>
                <w:rFonts w:ascii="Times New Roman" w:eastAsia="標楷體" w:hAnsi="Times New Roman"/>
                <w:b/>
                <w:color w:val="000000" w:themeColor="text1"/>
                <w:szCs w:val="24"/>
              </w:rPr>
              <w:t>基金之經理費率與保管費率</w:t>
            </w:r>
            <w:r w:rsidRPr="00BD0D85">
              <w:rPr>
                <w:rFonts w:ascii="Times New Roman" w:eastAsia="標楷體" w:hAnsi="Times New Roman" w:hint="eastAsia"/>
                <w:b/>
                <w:color w:val="000000" w:themeColor="text1"/>
                <w:szCs w:val="24"/>
              </w:rPr>
              <w:t>等</w:t>
            </w:r>
            <w:r w:rsidRPr="00BD0D85">
              <w:rPr>
                <w:rFonts w:ascii="Times New Roman" w:eastAsia="標楷體" w:hAnsi="Times New Roman"/>
                <w:b/>
                <w:color w:val="000000" w:themeColor="text1"/>
                <w:szCs w:val="24"/>
              </w:rPr>
              <w:t>與同類型相較是否合理。</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2466C4" w:rsidRPr="00BD0D85" w:rsidRDefault="002466C4">
            <w:pPr>
              <w:widowControl/>
              <w:spacing w:line="320" w:lineRule="exact"/>
              <w:rPr>
                <w:rFonts w:ascii="Times New Roman" w:eastAsia="標楷體" w:hAnsi="Times New Roman"/>
                <w:color w:val="000000" w:themeColor="text1"/>
                <w:szCs w:val="24"/>
              </w:rPr>
            </w:pPr>
            <w:proofErr w:type="gramStart"/>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roofErr w:type="gramEnd"/>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pStyle w:val="Default"/>
              <w:tabs>
                <w:tab w:val="left" w:pos="5336"/>
              </w:tabs>
              <w:rPr>
                <w:rFonts w:ascii="Times New Roman" w:hAnsi="Times New Roman" w:cs="Times New Roman"/>
                <w:color w:val="000000" w:themeColor="text1"/>
              </w:rPr>
            </w:pPr>
            <w:r w:rsidRPr="00BD0D85">
              <w:rPr>
                <w:rFonts w:ascii="Times New Roman" w:hAnsi="Times New Roman" w:cs="Times New Roman"/>
                <w:color w:val="000000" w:themeColor="text1"/>
              </w:rPr>
              <w:t>一、經理費率。</w:t>
            </w:r>
          </w:p>
          <w:p w:rsidR="002466C4" w:rsidRPr="00BD0D85" w:rsidRDefault="002466C4">
            <w:pPr>
              <w:pStyle w:val="Default"/>
              <w:rPr>
                <w:rFonts w:ascii="Times New Roman" w:hAnsi="Times New Roman" w:cs="Times New Roman"/>
                <w:color w:val="000000" w:themeColor="text1"/>
              </w:rPr>
            </w:pPr>
            <w:r w:rsidRPr="00BD0D85">
              <w:rPr>
                <w:rFonts w:ascii="Times New Roman" w:hAnsi="Times New Roman" w:cs="Times New Roman"/>
                <w:color w:val="000000" w:themeColor="text1"/>
              </w:rPr>
              <w:t>二、保管費率。</w:t>
            </w:r>
          </w:p>
          <w:p w:rsidR="002466C4" w:rsidRPr="00BD0D85" w:rsidRDefault="002466C4">
            <w:pPr>
              <w:pStyle w:val="Default"/>
              <w:rPr>
                <w:rFonts w:ascii="Times New Roman" w:hAnsi="Times New Roman" w:cs="Times New Roman"/>
                <w:color w:val="000000" w:themeColor="text1"/>
              </w:rPr>
            </w:pPr>
            <w:r w:rsidRPr="00BD0D85">
              <w:rPr>
                <w:rFonts w:ascii="Times New Roman" w:hAnsi="Times New Roman" w:cs="Times New Roman" w:hint="eastAsia"/>
                <w:color w:val="000000" w:themeColor="text1"/>
              </w:rPr>
              <w:t>三、買回費率</w:t>
            </w:r>
            <w:r w:rsidRPr="00BD0D85">
              <w:rPr>
                <w:rFonts w:ascii="Times New Roman" w:hAnsi="Times New Roman" w:cs="Times New Roman" w:hint="eastAsia"/>
                <w:color w:val="000000" w:themeColor="text1"/>
              </w:rPr>
              <w:t>(</w:t>
            </w:r>
            <w:r w:rsidRPr="00BD0D85">
              <w:rPr>
                <w:rFonts w:ascii="Times New Roman" w:hAnsi="Times New Roman" w:cs="Times New Roman" w:hint="eastAsia"/>
                <w:color w:val="000000" w:themeColor="text1"/>
              </w:rPr>
              <w:t>包含短線交易之認定及買回費用</w:t>
            </w:r>
            <w:r w:rsidRPr="00BD0D85">
              <w:rPr>
                <w:rFonts w:ascii="Times New Roman" w:hAnsi="Times New Roman" w:cs="Times New Roman"/>
                <w:color w:val="000000" w:themeColor="text1"/>
              </w:rPr>
              <w:t>)</w:t>
            </w:r>
            <w:r w:rsidRPr="00BD0D85">
              <w:rPr>
                <w:rFonts w:ascii="Times New Roman" w:hAnsi="Times New Roman" w:cs="Times New Roman" w:hint="eastAsia"/>
                <w:color w:val="000000" w:themeColor="text1"/>
              </w:rPr>
              <w:t>。</w:t>
            </w:r>
          </w:p>
          <w:p w:rsidR="002466C4" w:rsidRPr="00BD0D85" w:rsidRDefault="002466C4">
            <w:pPr>
              <w:pStyle w:val="Default"/>
              <w:rPr>
                <w:rFonts w:ascii="Times New Roman" w:hAnsi="Times New Roman" w:cs="Times New Roman"/>
                <w:color w:val="000000" w:themeColor="text1"/>
              </w:rPr>
            </w:pPr>
            <w:r w:rsidRPr="00BD0D85">
              <w:rPr>
                <w:rFonts w:ascii="Times New Roman" w:hAnsi="Times New Roman" w:cs="Times New Roman" w:hint="eastAsia"/>
                <w:color w:val="000000" w:themeColor="text1"/>
              </w:rPr>
              <w:t>四、保證機構保證費</w:t>
            </w:r>
            <w:r w:rsidRPr="00BD0D85">
              <w:rPr>
                <w:rFonts w:ascii="Times New Roman" w:hAnsi="Times New Roman" w:cs="Times New Roman" w:hint="eastAsia"/>
                <w:color w:val="000000" w:themeColor="text1"/>
              </w:rPr>
              <w:t>(</w:t>
            </w:r>
            <w:r w:rsidRPr="00BD0D85">
              <w:rPr>
                <w:rFonts w:ascii="Times New Roman" w:hAnsi="Times New Roman" w:cs="Times New Roman" w:hint="eastAsia"/>
                <w:color w:val="000000" w:themeColor="text1"/>
              </w:rPr>
              <w:t>保證型基金適用</w:t>
            </w:r>
            <w:r w:rsidRPr="00BD0D85">
              <w:rPr>
                <w:rFonts w:ascii="Times New Roman" w:hAnsi="Times New Roman" w:cs="Times New Roman" w:hint="eastAsia"/>
                <w:color w:val="000000" w:themeColor="text1"/>
              </w:rPr>
              <w:t>)</w:t>
            </w:r>
            <w:r w:rsidRPr="00BD0D85">
              <w:rPr>
                <w:rFonts w:ascii="Times New Roman" w:hAnsi="Times New Roman" w:cs="Times New Roman" w:hint="eastAsia"/>
                <w:color w:val="000000" w:themeColor="text1"/>
              </w:rPr>
              <w:t>。</w:t>
            </w:r>
          </w:p>
          <w:p w:rsidR="002466C4" w:rsidRPr="00BD0D85" w:rsidRDefault="002466C4" w:rsidP="00B473AA">
            <w:pPr>
              <w:pStyle w:val="Default"/>
              <w:ind w:left="468" w:hangingChars="195" w:hanging="468"/>
              <w:rPr>
                <w:rFonts w:ascii="Times New Roman" w:hAnsi="Times New Roman" w:cs="Times New Roman"/>
                <w:color w:val="000000" w:themeColor="text1"/>
              </w:rPr>
            </w:pPr>
            <w:r w:rsidRPr="00BD0D85">
              <w:rPr>
                <w:rFonts w:ascii="Times New Roman" w:hAnsi="Times New Roman" w:cs="Times New Roman" w:hint="eastAsia"/>
                <w:color w:val="000000" w:themeColor="text1"/>
              </w:rPr>
              <w:t>五、請說明遞延手續費揭露方式</w:t>
            </w:r>
            <w:r w:rsidRPr="00BD0D85">
              <w:rPr>
                <w:rFonts w:ascii="Times New Roman" w:hAnsi="Times New Roman" w:cs="Times New Roman" w:hint="eastAsia"/>
                <w:color w:val="000000" w:themeColor="text1"/>
              </w:rPr>
              <w:t>(</w:t>
            </w:r>
            <w:r w:rsidRPr="00BD0D85">
              <w:rPr>
                <w:rFonts w:ascii="Times New Roman" w:hAnsi="Times New Roman" w:cs="Times New Roman" w:hint="eastAsia"/>
                <w:color w:val="000000" w:themeColor="text1"/>
              </w:rPr>
              <w:t>後收級別適用</w:t>
            </w:r>
            <w:r w:rsidRPr="00BD0D85">
              <w:rPr>
                <w:rFonts w:ascii="Times New Roman" w:hAnsi="Times New Roman" w:cs="Times New Roman" w:hint="eastAsia"/>
                <w:color w:val="000000" w:themeColor="text1"/>
              </w:rPr>
              <w:t>)</w:t>
            </w:r>
            <w:r w:rsidRPr="00BD0D85">
              <w:rPr>
                <w:rFonts w:ascii="Times New Roman" w:hAnsi="Times New Roman" w:cs="Times New Roman" w:hint="eastAsia"/>
                <w:color w:val="000000" w:themeColor="text1"/>
              </w:rPr>
              <w:t>，是否有將前收及後收申購手續費收取方式並列比較，並</w:t>
            </w:r>
            <w:proofErr w:type="gramStart"/>
            <w:r w:rsidRPr="00BD0D85">
              <w:rPr>
                <w:rFonts w:ascii="Times New Roman" w:hAnsi="Times New Roman" w:cs="Times New Roman" w:hint="eastAsia"/>
                <w:color w:val="000000" w:themeColor="text1"/>
              </w:rPr>
              <w:t>提供釋例</w:t>
            </w:r>
            <w:proofErr w:type="gramEnd"/>
            <w:r w:rsidRPr="00BD0D85">
              <w:rPr>
                <w:rFonts w:ascii="Times New Roman" w:hAnsi="Times New Roman" w:cs="Times New Roman" w:hint="eastAsia"/>
                <w:color w:val="000000" w:themeColor="text1"/>
              </w:rPr>
              <w:t>，揭露於公開說明書供投資人參考。</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7B44BE">
        <w:trPr>
          <w:trHeight w:val="20"/>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6F60DB">
            <w:pPr>
              <w:pStyle w:val="Default"/>
              <w:tabs>
                <w:tab w:val="left" w:pos="5336"/>
              </w:tabs>
              <w:jc w:val="both"/>
              <w:rPr>
                <w:rFonts w:ascii="Times New Roman" w:hAnsi="Times New Roman"/>
                <w:color w:val="000000" w:themeColor="text1"/>
              </w:rPr>
            </w:pPr>
            <w:r w:rsidRPr="00BD0D85">
              <w:rPr>
                <w:rFonts w:ascii="Times New Roman" w:hAnsi="Times New Roman"/>
                <w:color w:val="000000" w:themeColor="text1"/>
              </w:rPr>
              <w:t>補充說明事項：</w:t>
            </w:r>
          </w:p>
          <w:p w:rsidR="00F2152D" w:rsidRPr="00BD0D85" w:rsidRDefault="00F2152D" w:rsidP="00CC5FDF">
            <w:pPr>
              <w:pStyle w:val="Default"/>
              <w:numPr>
                <w:ilvl w:val="0"/>
                <w:numId w:val="2"/>
              </w:numPr>
              <w:jc w:val="both"/>
              <w:rPr>
                <w:rFonts w:ascii="Times New Roman" w:hAnsi="Times New Roman" w:cs="Times New Roman"/>
                <w:color w:val="000000" w:themeColor="text1"/>
              </w:rPr>
            </w:pPr>
            <w:r w:rsidRPr="00BD0D85">
              <w:rPr>
                <w:rFonts w:ascii="Times New Roman" w:hAnsi="Times New Roman" w:cs="Times New Roman"/>
                <w:color w:val="000000" w:themeColor="text1"/>
              </w:rPr>
              <w:t>本基金與同類型基金所收取經理費率及保管費率相較之合理性。</w:t>
            </w:r>
          </w:p>
          <w:p w:rsidR="00F2152D" w:rsidRPr="00BD0D85" w:rsidRDefault="00F2152D" w:rsidP="00CC5FDF">
            <w:pPr>
              <w:pStyle w:val="Default"/>
              <w:numPr>
                <w:ilvl w:val="0"/>
                <w:numId w:val="2"/>
              </w:numPr>
              <w:tabs>
                <w:tab w:val="left" w:pos="543"/>
              </w:tabs>
              <w:jc w:val="both"/>
              <w:rPr>
                <w:rFonts w:ascii="Times New Roman" w:hAnsi="Times New Roman" w:cs="Times New Roman"/>
                <w:color w:val="000000" w:themeColor="text1"/>
              </w:rPr>
            </w:pPr>
            <w:r w:rsidRPr="00BD0D85">
              <w:rPr>
                <w:rFonts w:ascii="Times New Roman" w:hAnsi="Times New Roman" w:cs="Times New Roman"/>
                <w:color w:val="000000" w:themeColor="text1"/>
              </w:rPr>
              <w:t>基金</w:t>
            </w:r>
            <w:r w:rsidRPr="00BD0D85">
              <w:rPr>
                <w:rFonts w:ascii="Times New Roman" w:hAnsi="Times New Roman" w:cs="Times New Roman" w:hint="eastAsia"/>
                <w:color w:val="000000" w:themeColor="text1"/>
              </w:rPr>
              <w:t>是否</w:t>
            </w:r>
            <w:r w:rsidRPr="00BD0D85">
              <w:rPr>
                <w:rFonts w:ascii="Times New Roman" w:hAnsi="Times New Roman" w:cs="Times New Roman"/>
                <w:color w:val="000000" w:themeColor="text1"/>
              </w:rPr>
              <w:t>有增訂非契約範本規定之費用項目，</w:t>
            </w:r>
            <w:r w:rsidRPr="00BD0D85">
              <w:rPr>
                <w:rFonts w:ascii="Times New Roman" w:hAnsi="Times New Roman" w:cs="Times New Roman" w:hint="eastAsia"/>
                <w:color w:val="000000" w:themeColor="text1"/>
              </w:rPr>
              <w:t>如是請說明</w:t>
            </w:r>
            <w:r w:rsidRPr="00BD0D85">
              <w:rPr>
                <w:rFonts w:ascii="Times New Roman" w:hAnsi="Times New Roman" w:cs="Times New Roman"/>
                <w:color w:val="000000" w:themeColor="text1"/>
              </w:rPr>
              <w:t>是否已於公開說明書敘明。</w:t>
            </w:r>
          </w:p>
          <w:p w:rsidR="00F2152D" w:rsidRPr="00BD0D85" w:rsidRDefault="00F2152D" w:rsidP="00CC5FDF">
            <w:pPr>
              <w:pStyle w:val="Default"/>
              <w:numPr>
                <w:ilvl w:val="0"/>
                <w:numId w:val="2"/>
              </w:numPr>
              <w:tabs>
                <w:tab w:val="left" w:pos="543"/>
              </w:tabs>
              <w:jc w:val="both"/>
              <w:rPr>
                <w:rFonts w:ascii="Times New Roman" w:hAnsi="Times New Roman" w:cs="Times New Roman"/>
                <w:color w:val="000000" w:themeColor="text1"/>
              </w:rPr>
            </w:pPr>
            <w:r w:rsidRPr="00BD0D85">
              <w:rPr>
                <w:rFonts w:ascii="Times New Roman" w:hAnsi="Times New Roman" w:cs="Times New Roman" w:hint="eastAsia"/>
                <w:color w:val="000000" w:themeColor="text1"/>
              </w:rPr>
              <w:t>請說明經理費分成及通路報酬支付之合理性：</w:t>
            </w:r>
          </w:p>
          <w:p w:rsidR="00F2152D" w:rsidRPr="00BD0D85" w:rsidRDefault="00F2152D" w:rsidP="00CC5FDF">
            <w:pPr>
              <w:pStyle w:val="Default"/>
              <w:numPr>
                <w:ilvl w:val="0"/>
                <w:numId w:val="4"/>
              </w:numPr>
              <w:tabs>
                <w:tab w:val="left" w:pos="543"/>
              </w:tabs>
              <w:ind w:left="880" w:hanging="400"/>
              <w:jc w:val="both"/>
              <w:rPr>
                <w:rFonts w:ascii="Times New Roman" w:hAnsi="Times New Roman" w:cs="Times New Roman"/>
                <w:color w:val="000000" w:themeColor="text1"/>
              </w:rPr>
            </w:pPr>
            <w:r w:rsidRPr="00BD0D85">
              <w:rPr>
                <w:rFonts w:ascii="Times New Roman" w:hAnsi="Times New Roman" w:cs="Times New Roman" w:hint="eastAsia"/>
                <w:color w:val="000000" w:themeColor="text1"/>
              </w:rPr>
              <w:t>通路報酬支付是否考量事業之營運成本、合理利潤及銷售機構整體貢獻度等，且不得以任何名義變相支付獎勵銷售活動之一次性通路報酬。</w:t>
            </w:r>
          </w:p>
          <w:p w:rsidR="00F2152D" w:rsidRPr="00BD0D85" w:rsidRDefault="00F2152D" w:rsidP="00CC5FDF">
            <w:pPr>
              <w:pStyle w:val="Default"/>
              <w:numPr>
                <w:ilvl w:val="0"/>
                <w:numId w:val="4"/>
              </w:numPr>
              <w:tabs>
                <w:tab w:val="left" w:pos="543"/>
              </w:tabs>
              <w:ind w:left="880" w:hanging="400"/>
              <w:jc w:val="both"/>
              <w:rPr>
                <w:rFonts w:ascii="Times New Roman" w:hAnsi="Times New Roman" w:cs="Times New Roman"/>
                <w:color w:val="000000" w:themeColor="text1"/>
              </w:rPr>
            </w:pPr>
            <w:r w:rsidRPr="00BD0D85">
              <w:rPr>
                <w:rFonts w:ascii="Times New Roman" w:hAnsi="Times New Roman" w:cs="Times New Roman" w:hint="eastAsia"/>
                <w:color w:val="000000" w:themeColor="text1"/>
              </w:rPr>
              <w:t>通路報酬支付方式，及是否與經理費收入配合。</w:t>
            </w:r>
          </w:p>
          <w:p w:rsidR="00F2152D" w:rsidRPr="00BD0D85" w:rsidRDefault="00F2152D" w:rsidP="00CC5FDF">
            <w:pPr>
              <w:pStyle w:val="Default"/>
              <w:numPr>
                <w:ilvl w:val="0"/>
                <w:numId w:val="2"/>
              </w:numPr>
              <w:tabs>
                <w:tab w:val="left" w:pos="543"/>
              </w:tabs>
              <w:jc w:val="both"/>
              <w:rPr>
                <w:rFonts w:ascii="Times New Roman" w:hAnsi="Times New Roman" w:cs="Times New Roman"/>
                <w:color w:val="000000" w:themeColor="text1"/>
              </w:rPr>
            </w:pPr>
            <w:r w:rsidRPr="00BD0D85">
              <w:rPr>
                <w:rFonts w:ascii="Times New Roman" w:hAnsi="Times New Roman" w:cs="Times New Roman" w:hint="eastAsia"/>
                <w:color w:val="000000" w:themeColor="text1"/>
              </w:rPr>
              <w:t>是否有後收型級別</w:t>
            </w:r>
            <w:r w:rsidRPr="00BD0D85">
              <w:rPr>
                <w:rFonts w:ascii="Times New Roman" w:hAnsi="Times New Roman" w:cs="Times New Roman"/>
                <w:color w:val="000000" w:themeColor="text1"/>
              </w:rPr>
              <w:t>(</w:t>
            </w:r>
            <w:r w:rsidRPr="00BD0D85">
              <w:rPr>
                <w:rFonts w:ascii="Times New Roman" w:hAnsi="Times New Roman" w:cs="Times New Roman" w:hint="eastAsia"/>
                <w:color w:val="000000" w:themeColor="text1"/>
              </w:rPr>
              <w:t>遞延手續費級別</w:t>
            </w:r>
            <w:r w:rsidRPr="00BD0D85">
              <w:rPr>
                <w:rFonts w:ascii="Times New Roman" w:hAnsi="Times New Roman" w:cs="Times New Roman"/>
                <w:color w:val="000000" w:themeColor="text1"/>
              </w:rPr>
              <w:t>)</w:t>
            </w:r>
            <w:r w:rsidRPr="00BD0D85">
              <w:rPr>
                <w:rFonts w:ascii="Times New Roman" w:hAnsi="Times New Roman" w:cs="Times New Roman" w:hint="eastAsia"/>
                <w:color w:val="000000" w:themeColor="text1"/>
              </w:rPr>
              <w:t>：</w:t>
            </w:r>
            <w:r w:rsidRPr="00BD0D85">
              <w:rPr>
                <w:rFonts w:ascii="Times New Roman" w:hAnsi="Times New Roman" w:hint="eastAsia"/>
                <w:color w:val="000000" w:themeColor="text1"/>
              </w:rPr>
              <w:t>□是</w:t>
            </w:r>
            <w:r w:rsidRPr="00BD0D85">
              <w:rPr>
                <w:rFonts w:ascii="Times New Roman" w:hAnsi="Times New Roman"/>
                <w:color w:val="000000" w:themeColor="text1"/>
              </w:rPr>
              <w:t xml:space="preserve"> </w:t>
            </w:r>
            <w:proofErr w:type="gramStart"/>
            <w:r w:rsidRPr="00BD0D85">
              <w:rPr>
                <w:rFonts w:ascii="Times New Roman" w:hAnsi="Times New Roman" w:hint="eastAsia"/>
                <w:color w:val="000000" w:themeColor="text1"/>
              </w:rPr>
              <w:t>□否</w:t>
            </w:r>
            <w:proofErr w:type="gramEnd"/>
            <w:r w:rsidRPr="00BD0D85">
              <w:rPr>
                <w:rFonts w:ascii="Times New Roman" w:hAnsi="Times New Roman" w:hint="eastAsia"/>
                <w:color w:val="000000" w:themeColor="text1"/>
              </w:rPr>
              <w:t>，如是，請說明下列事項：</w:t>
            </w:r>
          </w:p>
          <w:p w:rsidR="00F2152D" w:rsidRPr="00BD0D85" w:rsidRDefault="00F2152D" w:rsidP="00CC5FDF">
            <w:pPr>
              <w:pStyle w:val="Default"/>
              <w:numPr>
                <w:ilvl w:val="0"/>
                <w:numId w:val="9"/>
              </w:numPr>
              <w:tabs>
                <w:tab w:val="left" w:pos="543"/>
              </w:tabs>
              <w:ind w:left="880" w:hanging="400"/>
              <w:jc w:val="both"/>
              <w:rPr>
                <w:rFonts w:ascii="Times New Roman" w:hAnsi="Times New Roman" w:cs="Times New Roman"/>
                <w:color w:val="000000" w:themeColor="text1"/>
              </w:rPr>
            </w:pPr>
            <w:r w:rsidRPr="00BD0D85">
              <w:rPr>
                <w:rFonts w:ascii="Times New Roman" w:hAnsi="Times New Roman" w:cs="Times New Roman" w:hint="eastAsia"/>
                <w:color w:val="000000" w:themeColor="text1"/>
              </w:rPr>
              <w:t>請說明本基金後收級別將支付給銷售機構之申購手續費分成比率為何，及是否加計分銷費。</w:t>
            </w:r>
          </w:p>
          <w:p w:rsidR="00F2152D" w:rsidRPr="00BD0D85" w:rsidRDefault="00F2152D" w:rsidP="00CC5FDF">
            <w:pPr>
              <w:pStyle w:val="Default"/>
              <w:numPr>
                <w:ilvl w:val="0"/>
                <w:numId w:val="9"/>
              </w:numPr>
              <w:tabs>
                <w:tab w:val="left" w:pos="543"/>
              </w:tabs>
              <w:ind w:left="880" w:hanging="400"/>
              <w:jc w:val="both"/>
              <w:rPr>
                <w:rFonts w:ascii="Times New Roman" w:hAnsi="Times New Roman" w:cs="Times New Roman"/>
                <w:color w:val="000000" w:themeColor="text1"/>
              </w:rPr>
            </w:pPr>
            <w:r w:rsidRPr="00BD0D85">
              <w:rPr>
                <w:rFonts w:ascii="Times New Roman" w:hAnsi="Times New Roman" w:cs="Times New Roman" w:hint="eastAsia"/>
                <w:color w:val="000000" w:themeColor="text1"/>
              </w:rPr>
              <w:t>請提供投信公司內部評估銷售機構之銷售作業成本，並評估本基金前收及後收級別申購手續費率之一致性等，以確認所支付後收級別申購手續費分成比率之合理性。</w:t>
            </w:r>
          </w:p>
          <w:p w:rsidR="00F2152D" w:rsidRPr="00BD0D85" w:rsidRDefault="00F2152D" w:rsidP="00CC5FDF">
            <w:pPr>
              <w:pStyle w:val="Default"/>
              <w:numPr>
                <w:ilvl w:val="0"/>
                <w:numId w:val="9"/>
              </w:numPr>
              <w:tabs>
                <w:tab w:val="left" w:pos="543"/>
              </w:tabs>
              <w:ind w:left="880" w:hanging="400"/>
              <w:jc w:val="both"/>
              <w:rPr>
                <w:rFonts w:ascii="Times New Roman" w:hAnsi="Times New Roman" w:cs="Times New Roman"/>
                <w:color w:val="000000" w:themeColor="text1"/>
              </w:rPr>
            </w:pPr>
            <w:r w:rsidRPr="00BD0D85">
              <w:rPr>
                <w:rFonts w:ascii="Times New Roman" w:hAnsi="Times New Roman" w:cs="Times New Roman" w:hint="eastAsia"/>
                <w:color w:val="000000" w:themeColor="text1"/>
              </w:rPr>
              <w:t>請說明所預先支付銷售機構之手續費費率，其是否以公司自有資金支應，對於公司財務健全性之影響、財務風險是否有良好控制。</w:t>
            </w:r>
          </w:p>
          <w:p w:rsidR="00F2152D" w:rsidRPr="00BD0D85" w:rsidRDefault="00F2152D" w:rsidP="00CC5FDF">
            <w:pPr>
              <w:pStyle w:val="Default"/>
              <w:numPr>
                <w:ilvl w:val="0"/>
                <w:numId w:val="9"/>
              </w:numPr>
              <w:tabs>
                <w:tab w:val="left" w:pos="543"/>
              </w:tabs>
              <w:ind w:left="880" w:hanging="400"/>
              <w:jc w:val="both"/>
              <w:rPr>
                <w:rFonts w:ascii="Times New Roman" w:hAnsi="Times New Roman" w:cs="Times New Roman"/>
                <w:color w:val="000000" w:themeColor="text1"/>
              </w:rPr>
            </w:pPr>
            <w:r w:rsidRPr="00BD0D85">
              <w:rPr>
                <w:rFonts w:ascii="Times New Roman" w:hAnsi="Times New Roman" w:cs="Times New Roman" w:hint="eastAsia"/>
                <w:color w:val="000000" w:themeColor="text1"/>
              </w:rPr>
              <w:lastRenderedPageBreak/>
              <w:t>已上架之後收級別基金：</w:t>
            </w:r>
          </w:p>
          <w:p w:rsidR="00F2152D" w:rsidRPr="00BD0D85" w:rsidRDefault="00F2152D" w:rsidP="00CC5FDF">
            <w:pPr>
              <w:pStyle w:val="Default"/>
              <w:numPr>
                <w:ilvl w:val="0"/>
                <w:numId w:val="26"/>
              </w:numPr>
              <w:tabs>
                <w:tab w:val="left" w:pos="543"/>
              </w:tabs>
              <w:ind w:left="1123" w:hanging="243"/>
              <w:jc w:val="both"/>
              <w:rPr>
                <w:rFonts w:ascii="Times New Roman" w:hAnsi="Times New Roman" w:cs="Times New Roman"/>
                <w:color w:val="000000" w:themeColor="text1"/>
              </w:rPr>
            </w:pPr>
            <w:r w:rsidRPr="00BD0D85">
              <w:rPr>
                <w:rFonts w:ascii="Times New Roman" w:hAnsi="Times New Roman" w:cs="Times New Roman" w:hint="eastAsia"/>
                <w:color w:val="000000" w:themeColor="text1"/>
              </w:rPr>
              <w:t>實際支付銷售機構後收手續費率及金額。</w:t>
            </w:r>
          </w:p>
          <w:p w:rsidR="00F2152D" w:rsidRPr="00BD0D85" w:rsidRDefault="00F2152D" w:rsidP="00F2152D">
            <w:pPr>
              <w:pStyle w:val="Default"/>
              <w:numPr>
                <w:ilvl w:val="0"/>
                <w:numId w:val="26"/>
              </w:numPr>
              <w:tabs>
                <w:tab w:val="left" w:pos="543"/>
              </w:tabs>
              <w:ind w:left="1123" w:hanging="243"/>
              <w:jc w:val="both"/>
              <w:rPr>
                <w:rFonts w:ascii="Times New Roman" w:hAnsi="Times New Roman"/>
                <w:color w:val="000000" w:themeColor="text1"/>
                <w:shd w:val="clear" w:color="auto" w:fill="FFFFFF"/>
              </w:rPr>
            </w:pPr>
            <w:r w:rsidRPr="00BD0D85">
              <w:rPr>
                <w:rFonts w:ascii="Times New Roman" w:hAnsi="Times New Roman" w:cs="Times New Roman" w:hint="eastAsia"/>
                <w:color w:val="000000" w:themeColor="text1"/>
              </w:rPr>
              <w:t>規模維持率與該檔基金前收級別之比較。</w:t>
            </w:r>
          </w:p>
        </w:tc>
      </w:tr>
      <w:tr w:rsidR="00BD0D85" w:rsidRPr="00BD0D85" w:rsidTr="00D9709D">
        <w:trPr>
          <w:trHeight w:val="20"/>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2466C4">
            <w:pPr>
              <w:widowControl/>
              <w:spacing w:line="320" w:lineRule="exact"/>
              <w:rPr>
                <w:rFonts w:ascii="標楷體" w:eastAsia="標楷體" w:hAnsi="標楷體"/>
                <w:color w:val="000000" w:themeColor="text1"/>
                <w:szCs w:val="24"/>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p w:rsidR="00B043A0" w:rsidRPr="00BD0D85" w:rsidRDefault="00B043A0">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654"/>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widowControl/>
              <w:numPr>
                <w:ilvl w:val="0"/>
                <w:numId w:val="1"/>
              </w:numPr>
              <w:spacing w:line="320" w:lineRule="exact"/>
              <w:ind w:left="462" w:hanging="565"/>
              <w:jc w:val="both"/>
              <w:rPr>
                <w:rFonts w:ascii="Times New Roman" w:eastAsia="標楷體" w:hAnsi="Times New Roman"/>
                <w:b/>
                <w:color w:val="000000" w:themeColor="text1"/>
                <w:szCs w:val="24"/>
              </w:rPr>
            </w:pPr>
            <w:r w:rsidRPr="00BD0D85">
              <w:rPr>
                <w:rFonts w:ascii="Times New Roman" w:eastAsia="標楷體" w:hAnsi="Times New Roman"/>
                <w:b/>
                <w:color w:val="000000" w:themeColor="text1"/>
                <w:szCs w:val="24"/>
              </w:rPr>
              <w:t>信託契約與契約範本內容不同之處是否合理。</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2466C4" w:rsidRPr="00BD0D85" w:rsidRDefault="002466C4">
            <w:pPr>
              <w:widowControl/>
              <w:spacing w:line="320" w:lineRule="exact"/>
              <w:rPr>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6F60DB">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shd w:val="clear" w:color="auto" w:fill="FFFFFF"/>
              </w:rPr>
              <w:t>一、請擇要說明信託契約與契約範本內容</w:t>
            </w:r>
            <w:r w:rsidR="00204504" w:rsidRPr="00BD0D85">
              <w:rPr>
                <w:rFonts w:ascii="Times New Roman" w:eastAsia="標楷體" w:hAnsi="Times New Roman" w:hint="eastAsia"/>
                <w:color w:val="000000" w:themeColor="text1"/>
                <w:szCs w:val="24"/>
                <w:shd w:val="clear" w:color="auto" w:fill="FFFFFF"/>
              </w:rPr>
              <w:t>重大</w:t>
            </w:r>
            <w:r w:rsidRPr="00BD0D85">
              <w:rPr>
                <w:rFonts w:ascii="Times New Roman" w:eastAsia="標楷體" w:hAnsi="Times New Roman" w:hint="eastAsia"/>
                <w:color w:val="000000" w:themeColor="text1"/>
                <w:szCs w:val="24"/>
                <w:shd w:val="clear" w:color="auto" w:fill="FFFFFF"/>
              </w:rPr>
              <w:t>不同之處</w:t>
            </w:r>
            <w:r w:rsidRPr="00BD0D85">
              <w:rPr>
                <w:rFonts w:ascii="Times New Roman" w:eastAsia="標楷體" w:hAnsi="Times New Roman" w:hint="eastAsia"/>
                <w:color w:val="000000" w:themeColor="text1"/>
                <w:szCs w:val="24"/>
                <w:shd w:val="clear" w:color="auto" w:fill="FFFFFF"/>
              </w:rPr>
              <w:t>(</w:t>
            </w:r>
            <w:r w:rsidRPr="00BD0D85">
              <w:rPr>
                <w:rFonts w:ascii="Times New Roman" w:eastAsia="標楷體" w:hAnsi="Times New Roman" w:hint="eastAsia"/>
                <w:color w:val="000000" w:themeColor="text1"/>
                <w:szCs w:val="24"/>
                <w:shd w:val="clear" w:color="auto" w:fill="FFFFFF"/>
              </w:rPr>
              <w:t>如營業日及其定義</w:t>
            </w:r>
            <w:r w:rsidRPr="00BD0D85">
              <w:rPr>
                <w:rFonts w:ascii="Times New Roman" w:eastAsia="標楷體" w:hAnsi="Times New Roman" w:hint="eastAsia"/>
                <w:color w:val="000000" w:themeColor="text1"/>
                <w:szCs w:val="24"/>
                <w:shd w:val="clear" w:color="auto" w:fill="FFFFFF"/>
              </w:rPr>
              <w:t>)</w:t>
            </w:r>
            <w:r w:rsidRPr="00BD0D85">
              <w:rPr>
                <w:rFonts w:ascii="Times New Roman" w:eastAsia="標楷體" w:hAnsi="Times New Roman" w:hint="eastAsia"/>
                <w:color w:val="000000" w:themeColor="text1"/>
                <w:szCs w:val="24"/>
                <w:shd w:val="clear" w:color="auto" w:fill="FFFFFF"/>
              </w:rPr>
              <w:t>。</w:t>
            </w:r>
          </w:p>
          <w:p w:rsidR="002466C4" w:rsidRPr="00BD0D85" w:rsidRDefault="002466C4" w:rsidP="002466C4">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shd w:val="clear" w:color="auto" w:fill="FFFFFF"/>
              </w:rPr>
              <w:t>二、請</w:t>
            </w:r>
            <w:r w:rsidRPr="00BD0D85">
              <w:rPr>
                <w:rFonts w:ascii="Times New Roman" w:eastAsia="標楷體" w:hAnsi="Times New Roman" w:hint="eastAsia"/>
                <w:color w:val="000000" w:themeColor="text1"/>
                <w:szCs w:val="24"/>
              </w:rPr>
              <w:t>摘要律師意見書。</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454"/>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widowControl/>
              <w:spacing w:line="320" w:lineRule="exact"/>
              <w:rPr>
                <w:rFonts w:ascii="Times New Roman" w:eastAsia="標楷體" w:hAnsi="Times New Roman"/>
                <w:color w:val="000000" w:themeColor="text1"/>
                <w:szCs w:val="24"/>
              </w:rPr>
            </w:pPr>
          </w:p>
        </w:tc>
        <w:tc>
          <w:tcPr>
            <w:tcW w:w="8926"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rsidR="002466C4" w:rsidRPr="00BD0D85" w:rsidRDefault="002466C4" w:rsidP="002466C4">
            <w:pPr>
              <w:pStyle w:val="Default"/>
              <w:tabs>
                <w:tab w:val="left" w:pos="5336"/>
              </w:tabs>
              <w:rPr>
                <w:rFonts w:ascii="Times New Roman" w:hAnsi="Times New Roman"/>
                <w:color w:val="000000" w:themeColor="text1"/>
              </w:rPr>
            </w:pPr>
            <w:r w:rsidRPr="00BD0D85">
              <w:rPr>
                <w:rFonts w:ascii="Times New Roman" w:hAnsi="Times New Roman"/>
                <w:color w:val="000000" w:themeColor="text1"/>
              </w:rPr>
              <w:t>補充說明事項：</w:t>
            </w:r>
          </w:p>
        </w:tc>
        <w:tc>
          <w:tcPr>
            <w:tcW w:w="1946"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454"/>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BB7F0F">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9A0744">
        <w:trPr>
          <w:trHeight w:val="597"/>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widowControl/>
              <w:numPr>
                <w:ilvl w:val="0"/>
                <w:numId w:val="1"/>
              </w:numPr>
              <w:spacing w:line="320" w:lineRule="exact"/>
              <w:ind w:left="462" w:hanging="565"/>
              <w:jc w:val="both"/>
              <w:rPr>
                <w:rFonts w:ascii="Times New Roman" w:eastAsia="標楷體" w:hAnsi="Times New Roman"/>
                <w:b/>
                <w:color w:val="000000" w:themeColor="text1"/>
                <w:szCs w:val="24"/>
              </w:rPr>
            </w:pPr>
            <w:r w:rsidRPr="00BD0D85">
              <w:rPr>
                <w:rFonts w:ascii="Times New Roman" w:eastAsia="標楷體" w:hAnsi="Times New Roman"/>
                <w:b/>
                <w:color w:val="000000" w:themeColor="text1"/>
                <w:szCs w:val="24"/>
              </w:rPr>
              <w:t>是否具體說明配息政策及來源。</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2466C4" w:rsidRPr="00BD0D85" w:rsidRDefault="002466C4">
            <w:pPr>
              <w:widowControl/>
              <w:spacing w:line="320" w:lineRule="exact"/>
              <w:rPr>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515FC8">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一、各級別之受益權與計價幣別說明。</w:t>
            </w:r>
          </w:p>
          <w:p w:rsidR="002466C4" w:rsidRPr="00BD0D85" w:rsidRDefault="002466C4" w:rsidP="006F60DB">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二、請說明配息政策：</w:t>
            </w:r>
          </w:p>
          <w:p w:rsidR="002466C4" w:rsidRPr="00BD0D85" w:rsidRDefault="002466C4" w:rsidP="006F60DB">
            <w:pPr>
              <w:spacing w:line="320" w:lineRule="exact"/>
              <w:ind w:leftChars="191" w:left="458"/>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w:t>
            </w:r>
            <w:proofErr w:type="gramStart"/>
            <w:r w:rsidRPr="00BD0D85">
              <w:rPr>
                <w:rFonts w:ascii="Times New Roman" w:eastAsia="標楷體" w:hAnsi="Times New Roman" w:hint="eastAsia"/>
                <w:color w:val="000000" w:themeColor="text1"/>
                <w:szCs w:val="24"/>
              </w:rPr>
              <w:t>一</w:t>
            </w:r>
            <w:proofErr w:type="gramEnd"/>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收益分配時點。</w:t>
            </w:r>
          </w:p>
          <w:p w:rsidR="002466C4" w:rsidRPr="00BD0D85" w:rsidRDefault="002466C4" w:rsidP="006F60DB">
            <w:pPr>
              <w:spacing w:line="320" w:lineRule="exact"/>
              <w:ind w:leftChars="191" w:left="458"/>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二</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可分配收益來源。</w:t>
            </w:r>
          </w:p>
          <w:p w:rsidR="008664F8" w:rsidRPr="00BD0D85" w:rsidRDefault="002466C4" w:rsidP="006F60DB">
            <w:pPr>
              <w:pStyle w:val="a7"/>
              <w:spacing w:line="320" w:lineRule="exact"/>
              <w:ind w:leftChars="200" w:left="1133" w:hangingChars="272" w:hanging="653"/>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三</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配息是否涉及本金：□是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，如是</w:t>
            </w:r>
            <w:r w:rsidR="00946740" w:rsidRPr="00BD0D85">
              <w:rPr>
                <w:rFonts w:ascii="Times New Roman" w:eastAsia="標楷體" w:hAnsi="Times New Roman" w:hint="eastAsia"/>
                <w:color w:val="000000" w:themeColor="text1"/>
                <w:szCs w:val="24"/>
              </w:rPr>
              <w:t>請說明</w:t>
            </w:r>
          </w:p>
          <w:p w:rsidR="003F5125" w:rsidRPr="00BD0D85" w:rsidRDefault="002466C4" w:rsidP="004E1798">
            <w:pPr>
              <w:pStyle w:val="a7"/>
              <w:numPr>
                <w:ilvl w:val="0"/>
                <w:numId w:val="27"/>
              </w:numPr>
              <w:spacing w:line="320" w:lineRule="exact"/>
              <w:ind w:left="680" w:firstLine="198"/>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請詳述涉及本金之情形</w:t>
            </w:r>
            <w:r w:rsidR="00BD4287" w:rsidRPr="00BD0D85">
              <w:rPr>
                <w:rFonts w:ascii="Times New Roman" w:eastAsia="標楷體" w:hAnsi="Times New Roman" w:hint="eastAsia"/>
                <w:color w:val="000000" w:themeColor="text1"/>
                <w:szCs w:val="24"/>
              </w:rPr>
              <w:t>。</w:t>
            </w:r>
          </w:p>
          <w:p w:rsidR="003F5125" w:rsidRPr="00BD0D85" w:rsidRDefault="002466C4" w:rsidP="004E1798">
            <w:pPr>
              <w:pStyle w:val="a7"/>
              <w:numPr>
                <w:ilvl w:val="0"/>
                <w:numId w:val="27"/>
              </w:numPr>
              <w:spacing w:line="320" w:lineRule="exact"/>
              <w:ind w:left="680" w:firstLine="198"/>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可分配收益來源是否已扣除相關費用</w:t>
            </w:r>
            <w:r w:rsidR="003F5125" w:rsidRPr="00BD0D85">
              <w:rPr>
                <w:rFonts w:ascii="Times New Roman" w:eastAsia="標楷體" w:hAnsi="Times New Roman" w:hint="eastAsia"/>
                <w:color w:val="000000" w:themeColor="text1"/>
                <w:szCs w:val="24"/>
              </w:rPr>
              <w:t>。</w:t>
            </w:r>
          </w:p>
          <w:p w:rsidR="002466C4" w:rsidRPr="00BD0D85" w:rsidRDefault="002466C4" w:rsidP="004D7B13">
            <w:pPr>
              <w:spacing w:line="320" w:lineRule="exact"/>
              <w:ind w:leftChars="10" w:left="449" w:hangingChars="177" w:hanging="425"/>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三、是否發行法人類型受益權單位之級別：□是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，如是，信託契約是否載明法人類型受益權單位限於符合金融消費者保護法第</w:t>
            </w:r>
            <w:r w:rsidRPr="00BD0D85">
              <w:rPr>
                <w:rFonts w:ascii="Times New Roman" w:eastAsia="標楷體" w:hAnsi="Times New Roman"/>
                <w:color w:val="000000" w:themeColor="text1"/>
                <w:szCs w:val="24"/>
              </w:rPr>
              <w:t>4</w:t>
            </w:r>
            <w:r w:rsidRPr="00BD0D85">
              <w:rPr>
                <w:rFonts w:ascii="Times New Roman" w:eastAsia="標楷體" w:hAnsi="Times New Roman" w:hint="eastAsia"/>
                <w:color w:val="000000" w:themeColor="text1"/>
                <w:szCs w:val="24"/>
              </w:rPr>
              <w:t>條規定「專業投資機構」或「符合一定財力或專業能力之法人」申購，並請說明法人類型受益權單位與其他類型之主要差異及其合理性。</w:t>
            </w:r>
          </w:p>
          <w:p w:rsidR="002466C4" w:rsidRPr="00BD0D85" w:rsidRDefault="002466C4" w:rsidP="002466C4">
            <w:pPr>
              <w:spacing w:line="320" w:lineRule="exact"/>
              <w:ind w:left="449" w:hangingChars="187" w:hanging="449"/>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四、基金所有銷售文件（包括但不限於公開說明書、簡式公開說明書）是否有基金配息可能涉及本金之揭露：□是</w:t>
            </w:r>
            <w:r w:rsidRPr="00BD0D85">
              <w:rPr>
                <w:rFonts w:ascii="Times New Roman" w:eastAsia="標楷體" w:hAnsi="Times New Roman"/>
                <w:color w:val="000000" w:themeColor="text1"/>
                <w:szCs w:val="24"/>
              </w:rPr>
              <w:t xml:space="preserve"> </w:t>
            </w:r>
            <w:proofErr w:type="gramStart"/>
            <w:r w:rsidRPr="00BD0D85">
              <w:rPr>
                <w:rFonts w:ascii="Times New Roman" w:eastAsia="標楷體" w:hAnsi="Times New Roman" w:hint="eastAsia"/>
                <w:color w:val="000000" w:themeColor="text1"/>
                <w:szCs w:val="24"/>
              </w:rPr>
              <w:t>□否</w:t>
            </w:r>
            <w:proofErr w:type="gramEnd"/>
            <w:r w:rsidRPr="00BD0D85">
              <w:rPr>
                <w:rFonts w:ascii="Times New Roman" w:eastAsia="標楷體" w:hAnsi="Times New Roman" w:hint="eastAsia"/>
                <w:color w:val="000000" w:themeColor="text1"/>
                <w:szCs w:val="24"/>
              </w:rPr>
              <w:t>□不適用</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E82020">
        <w:trPr>
          <w:trHeight w:val="71"/>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jc w:val="both"/>
              <w:rPr>
                <w:rFonts w:ascii="Times New Roman" w:eastAsia="標楷體" w:hAnsi="Times New Roman"/>
                <w:b/>
                <w:color w:val="000000" w:themeColor="text1"/>
                <w:szCs w:val="24"/>
                <w:shd w:val="clear" w:color="auto" w:fill="FF00FF"/>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6F60DB">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CC5FDF">
            <w:pPr>
              <w:pStyle w:val="a7"/>
              <w:numPr>
                <w:ilvl w:val="0"/>
                <w:numId w:val="6"/>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首次</w:t>
            </w:r>
            <w:proofErr w:type="gramStart"/>
            <w:r w:rsidRPr="00BD0D85">
              <w:rPr>
                <w:rFonts w:ascii="Times New Roman" w:eastAsia="標楷體" w:hAnsi="Times New Roman" w:hint="eastAsia"/>
                <w:color w:val="000000" w:themeColor="text1"/>
                <w:szCs w:val="24"/>
              </w:rPr>
              <w:t>發行多幣別</w:t>
            </w:r>
            <w:proofErr w:type="gramEnd"/>
            <w:r w:rsidRPr="00BD0D85">
              <w:rPr>
                <w:rFonts w:ascii="Times New Roman" w:eastAsia="標楷體" w:hAnsi="Times New Roman" w:hint="eastAsia"/>
                <w:color w:val="000000" w:themeColor="text1"/>
                <w:szCs w:val="24"/>
              </w:rPr>
              <w:t>基金者，應說明基金會計系統是否可支應相關作業，並</w:t>
            </w:r>
            <w:proofErr w:type="gramStart"/>
            <w:r w:rsidRPr="00BD0D85">
              <w:rPr>
                <w:rFonts w:ascii="Times New Roman" w:eastAsia="標楷體" w:hAnsi="Times New Roman" w:hint="eastAsia"/>
                <w:color w:val="000000" w:themeColor="text1"/>
                <w:szCs w:val="24"/>
              </w:rPr>
              <w:t>以釋例方式</w:t>
            </w:r>
            <w:proofErr w:type="gramEnd"/>
            <w:r w:rsidRPr="00BD0D85">
              <w:rPr>
                <w:rFonts w:ascii="Times New Roman" w:eastAsia="標楷體" w:hAnsi="Times New Roman" w:hint="eastAsia"/>
                <w:color w:val="000000" w:themeColor="text1"/>
                <w:szCs w:val="24"/>
              </w:rPr>
              <w:t>說明如何計算各級別之基金淨值。</w:t>
            </w:r>
          </w:p>
          <w:p w:rsidR="00F2152D" w:rsidRPr="00BD0D85" w:rsidRDefault="00F2152D" w:rsidP="00CC5FDF">
            <w:pPr>
              <w:pStyle w:val="a7"/>
              <w:numPr>
                <w:ilvl w:val="0"/>
                <w:numId w:val="6"/>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配息相關：</w:t>
            </w:r>
          </w:p>
          <w:p w:rsidR="00F2152D" w:rsidRPr="00BD0D85" w:rsidRDefault="00F2152D" w:rsidP="00495CA4">
            <w:pPr>
              <w:pStyle w:val="a7"/>
              <w:numPr>
                <w:ilvl w:val="0"/>
                <w:numId w:val="29"/>
              </w:numPr>
              <w:spacing w:line="320" w:lineRule="exact"/>
              <w:ind w:left="1017"/>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可分配收益源自各類收益來源之比重。</w:t>
            </w:r>
          </w:p>
          <w:p w:rsidR="00F2152D" w:rsidRPr="00BD0D85" w:rsidRDefault="00F2152D" w:rsidP="00495CA4">
            <w:pPr>
              <w:pStyle w:val="a7"/>
              <w:numPr>
                <w:ilvl w:val="0"/>
                <w:numId w:val="29"/>
              </w:numPr>
              <w:spacing w:line="320" w:lineRule="exact"/>
              <w:ind w:left="1017"/>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lastRenderedPageBreak/>
              <w:t>預估配息率，及評估是否可能發生大幅波動。</w:t>
            </w:r>
          </w:p>
          <w:p w:rsidR="00F2152D" w:rsidRPr="00BD0D85" w:rsidRDefault="00F2152D" w:rsidP="00495CA4">
            <w:pPr>
              <w:pStyle w:val="a7"/>
              <w:numPr>
                <w:ilvl w:val="0"/>
                <w:numId w:val="29"/>
              </w:numPr>
              <w:spacing w:line="320" w:lineRule="exact"/>
              <w:ind w:left="1017"/>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調整配息率之考量因素。</w:t>
            </w:r>
          </w:p>
          <w:p w:rsidR="00F2152D" w:rsidRPr="00BD0D85" w:rsidRDefault="00A94424" w:rsidP="00A94424">
            <w:pPr>
              <w:pStyle w:val="a7"/>
              <w:numPr>
                <w:ilvl w:val="0"/>
                <w:numId w:val="29"/>
              </w:numPr>
              <w:spacing w:line="320" w:lineRule="exact"/>
              <w:ind w:left="970" w:hanging="433"/>
              <w:jc w:val="both"/>
              <w:rPr>
                <w:rFonts w:ascii="Times New Roman" w:eastAsia="標楷體" w:hAnsi="Times New Roman"/>
                <w:color w:val="000000" w:themeColor="text1"/>
                <w:szCs w:val="24"/>
              </w:rPr>
            </w:pPr>
            <w:r w:rsidRPr="00A94424">
              <w:rPr>
                <w:rFonts w:ascii="Times New Roman" w:eastAsia="標楷體" w:hAnsi="Times New Roman" w:hint="eastAsia"/>
                <w:color w:val="000000" w:themeColor="text1"/>
                <w:szCs w:val="24"/>
              </w:rPr>
              <w:t xml:space="preserve"> </w:t>
            </w:r>
            <w:r w:rsidRPr="00A94424">
              <w:rPr>
                <w:rFonts w:ascii="Times New Roman" w:eastAsia="標楷體" w:hAnsi="Times New Roman" w:hint="eastAsia"/>
                <w:color w:val="000000" w:themeColor="text1"/>
                <w:szCs w:val="24"/>
              </w:rPr>
              <w:t>如契約訂有經理公司得依基金收益之情形，自行決定應分配之金額，可超出可分配收益時，請</w:t>
            </w:r>
            <w:r w:rsidRPr="00A94424">
              <w:rPr>
                <w:rFonts w:ascii="Times New Roman" w:eastAsia="標楷體" w:hAnsi="Times New Roman" w:hint="eastAsia"/>
                <w:color w:val="000000" w:themeColor="text1"/>
                <w:szCs w:val="24"/>
                <w:shd w:val="clear" w:color="auto" w:fill="FFFFFF"/>
              </w:rPr>
              <w:t>說明</w:t>
            </w:r>
            <w:r w:rsidRPr="00A94424">
              <w:rPr>
                <w:rFonts w:ascii="Times New Roman" w:eastAsia="標楷體" w:hAnsi="Times New Roman" w:hint="eastAsia"/>
                <w:color w:val="000000" w:themeColor="text1"/>
                <w:szCs w:val="24"/>
              </w:rPr>
              <w:t>基金全年度配息金額是否得超過全年度之可分配收益，如得超過，請詳予說明理由。</w:t>
            </w:r>
          </w:p>
          <w:p w:rsidR="00F2152D" w:rsidRPr="00BD0D85" w:rsidRDefault="00F2152D" w:rsidP="00BB7F0F">
            <w:pPr>
              <w:pStyle w:val="a7"/>
              <w:numPr>
                <w:ilvl w:val="0"/>
                <w:numId w:val="29"/>
              </w:numPr>
              <w:spacing w:line="320" w:lineRule="exact"/>
              <w:ind w:left="1017"/>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可分配收益來源如有收益平</w:t>
            </w:r>
            <w:proofErr w:type="gramStart"/>
            <w:r w:rsidRPr="00BD0D85">
              <w:rPr>
                <w:rFonts w:ascii="Times New Roman" w:eastAsia="標楷體" w:hAnsi="Times New Roman" w:hint="eastAsia"/>
                <w:color w:val="000000" w:themeColor="text1"/>
                <w:szCs w:val="24"/>
              </w:rPr>
              <w:t>準</w:t>
            </w:r>
            <w:proofErr w:type="gramEnd"/>
            <w:r w:rsidRPr="00BD0D85">
              <w:rPr>
                <w:rFonts w:ascii="Times New Roman" w:eastAsia="標楷體" w:hAnsi="Times New Roman" w:hint="eastAsia"/>
                <w:color w:val="000000" w:themeColor="text1"/>
                <w:szCs w:val="24"/>
              </w:rPr>
              <w:t>金，請說明收益分配原則、收益平</w:t>
            </w:r>
            <w:proofErr w:type="gramStart"/>
            <w:r w:rsidRPr="00BD0D85">
              <w:rPr>
                <w:rFonts w:ascii="Times New Roman" w:eastAsia="標楷體" w:hAnsi="Times New Roman" w:hint="eastAsia"/>
                <w:color w:val="000000" w:themeColor="text1"/>
                <w:szCs w:val="24"/>
              </w:rPr>
              <w:t>準</w:t>
            </w:r>
            <w:proofErr w:type="gramEnd"/>
            <w:r w:rsidRPr="00BD0D85">
              <w:rPr>
                <w:rFonts w:ascii="Times New Roman" w:eastAsia="標楷體" w:hAnsi="Times New Roman" w:hint="eastAsia"/>
                <w:color w:val="000000" w:themeColor="text1"/>
                <w:szCs w:val="24"/>
              </w:rPr>
              <w:t>金之啟動標準及使用上限、收益平</w:t>
            </w:r>
            <w:proofErr w:type="gramStart"/>
            <w:r w:rsidRPr="00BD0D85">
              <w:rPr>
                <w:rFonts w:ascii="Times New Roman" w:eastAsia="標楷體" w:hAnsi="Times New Roman" w:hint="eastAsia"/>
                <w:color w:val="000000" w:themeColor="text1"/>
                <w:szCs w:val="24"/>
              </w:rPr>
              <w:t>準</w:t>
            </w:r>
            <w:proofErr w:type="gramEnd"/>
            <w:r w:rsidRPr="00BD0D85">
              <w:rPr>
                <w:rFonts w:ascii="Times New Roman" w:eastAsia="標楷體" w:hAnsi="Times New Roman" w:hint="eastAsia"/>
                <w:color w:val="000000" w:themeColor="text1"/>
                <w:szCs w:val="24"/>
              </w:rPr>
              <w:t>金占配息金額的比例。</w:t>
            </w:r>
          </w:p>
        </w:tc>
      </w:tr>
      <w:tr w:rsidR="00BD0D85" w:rsidRPr="00BD0D85" w:rsidTr="00BB7F0F">
        <w:trPr>
          <w:trHeight w:val="454"/>
          <w:jc w:val="center"/>
        </w:trPr>
        <w:tc>
          <w:tcPr>
            <w:tcW w:w="269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jc w:val="both"/>
              <w:rPr>
                <w:rFonts w:ascii="Times New Roman" w:eastAsia="標楷體" w:hAnsi="Times New Roman"/>
                <w:b/>
                <w:color w:val="000000" w:themeColor="text1"/>
                <w:szCs w:val="24"/>
                <w:shd w:val="clear" w:color="auto" w:fill="FF00FF"/>
              </w:rPr>
            </w:pPr>
          </w:p>
        </w:tc>
        <w:tc>
          <w:tcPr>
            <w:tcW w:w="113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43A0" w:rsidRPr="00BD0D85" w:rsidRDefault="00B043A0">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BB7F0F">
        <w:trPr>
          <w:trHeight w:val="992"/>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66C4" w:rsidRPr="00BD0D85" w:rsidRDefault="002466C4">
            <w:pPr>
              <w:widowControl/>
              <w:numPr>
                <w:ilvl w:val="0"/>
                <w:numId w:val="1"/>
              </w:numPr>
              <w:spacing w:line="320" w:lineRule="exact"/>
              <w:ind w:left="462" w:hanging="565"/>
              <w:jc w:val="both"/>
              <w:rPr>
                <w:rFonts w:ascii="Times New Roman" w:eastAsia="標楷體" w:hAnsi="Times New Roman"/>
                <w:b/>
                <w:color w:val="000000" w:themeColor="text1"/>
                <w:szCs w:val="24"/>
              </w:rPr>
            </w:pPr>
            <w:r w:rsidRPr="00BD0D85">
              <w:rPr>
                <w:rFonts w:ascii="Times New Roman" w:eastAsia="標楷體" w:hAnsi="Times New Roman"/>
                <w:b/>
                <w:color w:val="000000" w:themeColor="text1"/>
                <w:szCs w:val="24"/>
              </w:rPr>
              <w:t>基金經理人同時管理</w:t>
            </w:r>
            <w:proofErr w:type="gramStart"/>
            <w:r w:rsidRPr="00BD0D85">
              <w:rPr>
                <w:rFonts w:ascii="Times New Roman" w:eastAsia="標楷體" w:hAnsi="Times New Roman"/>
                <w:b/>
                <w:color w:val="000000" w:themeColor="text1"/>
                <w:szCs w:val="24"/>
              </w:rPr>
              <w:t>或協管</w:t>
            </w:r>
            <w:proofErr w:type="gramEnd"/>
            <w:r w:rsidRPr="00BD0D85">
              <w:rPr>
                <w:rFonts w:ascii="Times New Roman" w:eastAsia="標楷體" w:hAnsi="Times New Roman"/>
                <w:b/>
                <w:color w:val="000000" w:themeColor="text1"/>
                <w:szCs w:val="24"/>
              </w:rPr>
              <w:t>其他基金時，是否符合</w:t>
            </w:r>
            <w:r w:rsidRPr="00BD0D85">
              <w:rPr>
                <w:rFonts w:ascii="Times New Roman" w:eastAsia="標楷體" w:hAnsi="Times New Roman" w:hint="eastAsia"/>
                <w:b/>
                <w:color w:val="000000" w:themeColor="text1"/>
                <w:szCs w:val="24"/>
              </w:rPr>
              <w:t>規定</w:t>
            </w:r>
            <w:r w:rsidRPr="00BD0D85">
              <w:rPr>
                <w:rFonts w:ascii="Times New Roman" w:eastAsia="標楷體" w:hAnsi="Times New Roman"/>
                <w:b/>
                <w:color w:val="000000" w:themeColor="text1"/>
                <w:szCs w:val="24"/>
              </w:rPr>
              <w:t>，並於公開說明書揭露。</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66C4" w:rsidRPr="00BD0D85" w:rsidRDefault="002466C4" w:rsidP="00CA1C08">
            <w:pPr>
              <w:spacing w:line="320" w:lineRule="exact"/>
              <w:ind w:left="19" w:hanging="19"/>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基金經理人同時管理</w:t>
            </w:r>
            <w:proofErr w:type="gramStart"/>
            <w:r w:rsidRPr="00BD0D85">
              <w:rPr>
                <w:rFonts w:ascii="Times New Roman" w:eastAsia="標楷體" w:hAnsi="Times New Roman" w:hint="eastAsia"/>
                <w:color w:val="000000" w:themeColor="text1"/>
                <w:szCs w:val="24"/>
              </w:rPr>
              <w:t>或協管</w:t>
            </w:r>
            <w:proofErr w:type="gramEnd"/>
            <w:r w:rsidRPr="00BD0D85">
              <w:rPr>
                <w:rFonts w:ascii="Times New Roman" w:eastAsia="標楷體" w:hAnsi="Times New Roman" w:hint="eastAsia"/>
                <w:color w:val="000000" w:themeColor="text1"/>
                <w:szCs w:val="24"/>
              </w:rPr>
              <w:t>其他基金者，</w:t>
            </w:r>
            <w:r w:rsidRPr="00BD0D85">
              <w:rPr>
                <w:rFonts w:ascii="Times New Roman" w:eastAsia="標楷體" w:hAnsi="Times New Roman"/>
                <w:color w:val="000000" w:themeColor="text1"/>
                <w:szCs w:val="24"/>
              </w:rPr>
              <w:t>是否</w:t>
            </w:r>
            <w:r w:rsidRPr="00BD0D85">
              <w:rPr>
                <w:rFonts w:ascii="Times New Roman" w:eastAsia="標楷體" w:hAnsi="Times New Roman" w:hint="eastAsia"/>
                <w:color w:val="000000" w:themeColor="text1"/>
                <w:szCs w:val="24"/>
              </w:rPr>
              <w:t>於公開說明書揭露所管理</w:t>
            </w:r>
            <w:proofErr w:type="gramStart"/>
            <w:r w:rsidRPr="00BD0D85">
              <w:rPr>
                <w:rFonts w:ascii="Times New Roman" w:eastAsia="標楷體" w:hAnsi="Times New Roman" w:hint="eastAsia"/>
                <w:color w:val="000000" w:themeColor="text1"/>
                <w:szCs w:val="24"/>
              </w:rPr>
              <w:t>或協管</w:t>
            </w:r>
            <w:proofErr w:type="gramEnd"/>
            <w:r w:rsidRPr="00BD0D85">
              <w:rPr>
                <w:rFonts w:ascii="Times New Roman" w:eastAsia="標楷體" w:hAnsi="Times New Roman" w:hint="eastAsia"/>
                <w:color w:val="000000" w:themeColor="text1"/>
                <w:szCs w:val="24"/>
              </w:rPr>
              <w:t>之其他基金名稱、職責範圍（</w:t>
            </w:r>
            <w:proofErr w:type="gramStart"/>
            <w:r w:rsidRPr="00BD0D85">
              <w:rPr>
                <w:rFonts w:ascii="Times New Roman" w:eastAsia="標楷體" w:hAnsi="Times New Roman" w:hint="eastAsia"/>
                <w:color w:val="000000" w:themeColor="text1"/>
                <w:szCs w:val="24"/>
              </w:rPr>
              <w:t>採</w:t>
            </w:r>
            <w:proofErr w:type="gramEnd"/>
            <w:r w:rsidRPr="00BD0D85">
              <w:rPr>
                <w:rFonts w:ascii="Times New Roman" w:eastAsia="標楷體" w:hAnsi="Times New Roman" w:hint="eastAsia"/>
                <w:color w:val="000000" w:themeColor="text1"/>
                <w:szCs w:val="24"/>
              </w:rPr>
              <w:t>多重經理人方式管理者適用）及所採取防止利益衝突之措施。</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66C4" w:rsidRPr="00BD0D85" w:rsidRDefault="002466C4">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092822">
        <w:trPr>
          <w:trHeight w:val="941"/>
          <w:jc w:val="center"/>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pPr>
              <w:widowControl/>
              <w:spacing w:line="320" w:lineRule="exact"/>
              <w:jc w:val="both"/>
              <w:rPr>
                <w:rFonts w:ascii="Times New Roman" w:eastAsia="標楷體" w:hAnsi="Times New Roman"/>
                <w:b/>
                <w:color w:val="000000" w:themeColor="text1"/>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rsidP="006F60DB">
            <w:pPr>
              <w:spacing w:line="320" w:lineRule="exact"/>
              <w:ind w:left="480" w:hanging="48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BB7F0F">
            <w:pPr>
              <w:tabs>
                <w:tab w:val="left" w:pos="171"/>
                <w:tab w:val="left" w:pos="455"/>
              </w:tabs>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color w:val="000000" w:themeColor="text1"/>
                <w:szCs w:val="24"/>
              </w:rPr>
              <w:t>請說明本基金經理人目前已經理之基金檔數，是否有經理檔數過多而無法確保基金操作健全之情事</w:t>
            </w:r>
            <w:r w:rsidRPr="00BD0D85">
              <w:rPr>
                <w:rFonts w:ascii="Times New Roman" w:eastAsia="標楷體" w:hAnsi="Times New Roman" w:hint="eastAsia"/>
                <w:color w:val="000000" w:themeColor="text1"/>
                <w:szCs w:val="24"/>
              </w:rPr>
              <w:t>，及該基金經理人增加管理本基金之妥適性評估</w:t>
            </w:r>
            <w:r w:rsidRPr="00BD0D85">
              <w:rPr>
                <w:rFonts w:ascii="Times New Roman" w:eastAsia="標楷體" w:hAnsi="Times New Roman"/>
                <w:color w:val="000000" w:themeColor="text1"/>
                <w:szCs w:val="24"/>
              </w:rPr>
              <w:t>。</w:t>
            </w:r>
          </w:p>
        </w:tc>
      </w:tr>
      <w:tr w:rsidR="00BD0D85" w:rsidRPr="00BD0D85" w:rsidTr="00BB7F0F">
        <w:trPr>
          <w:trHeight w:val="454"/>
          <w:jc w:val="center"/>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3A0" w:rsidRPr="00BD0D85" w:rsidRDefault="00B043A0">
            <w:pPr>
              <w:widowControl/>
              <w:spacing w:line="320" w:lineRule="exact"/>
              <w:jc w:val="both"/>
              <w:rPr>
                <w:rFonts w:ascii="Times New Roman" w:eastAsia="標楷體" w:hAnsi="Times New Roman"/>
                <w:b/>
                <w:color w:val="000000" w:themeColor="text1"/>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3A0" w:rsidRPr="00BD0D85" w:rsidRDefault="00B043A0" w:rsidP="00BB7F0F">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191938">
        <w:trPr>
          <w:trHeight w:val="941"/>
          <w:jc w:val="center"/>
        </w:trPr>
        <w:tc>
          <w:tcPr>
            <w:tcW w:w="269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91938" w:rsidRPr="00BD0D85" w:rsidRDefault="00191938" w:rsidP="00191938">
            <w:pPr>
              <w:widowControl/>
              <w:numPr>
                <w:ilvl w:val="0"/>
                <w:numId w:val="1"/>
              </w:numPr>
              <w:spacing w:line="320" w:lineRule="exact"/>
              <w:ind w:left="462" w:hanging="565"/>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是否有</w:t>
            </w:r>
            <w:r w:rsidRPr="00BD0D85">
              <w:rPr>
                <w:rFonts w:ascii="Times New Roman" w:eastAsia="標楷體" w:hAnsi="Times New Roman"/>
                <w:b/>
                <w:color w:val="000000" w:themeColor="text1"/>
                <w:szCs w:val="24"/>
              </w:rPr>
              <w:t>其他應說明事項。</w:t>
            </w:r>
          </w:p>
        </w:tc>
        <w:tc>
          <w:tcPr>
            <w:tcW w:w="113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91938" w:rsidRPr="00BD0D85" w:rsidRDefault="00191938" w:rsidP="00191938">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191938" w:rsidRPr="00BD0D85" w:rsidRDefault="00191938" w:rsidP="00191938">
            <w:pPr>
              <w:widowControl/>
              <w:spacing w:line="320" w:lineRule="exact"/>
              <w:rPr>
                <w:rFonts w:ascii="Times New Roman" w:eastAsia="標楷體" w:hAnsi="Times New Roman"/>
                <w:color w:val="000000" w:themeColor="text1"/>
                <w:szCs w:val="24"/>
              </w:rPr>
            </w:pPr>
            <w:proofErr w:type="gramStart"/>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roofErr w:type="gramEnd"/>
          </w:p>
        </w:tc>
        <w:tc>
          <w:tcPr>
            <w:tcW w:w="8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1938" w:rsidRPr="00BD0D85" w:rsidRDefault="00C04611" w:rsidP="00C04611">
            <w:pPr>
              <w:spacing w:line="320" w:lineRule="exact"/>
              <w:ind w:left="521" w:hangingChars="217" w:hanging="521"/>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w:t>
            </w:r>
            <w:r w:rsidR="00191938" w:rsidRPr="00BD0D85">
              <w:rPr>
                <w:rFonts w:ascii="Times New Roman" w:eastAsia="標楷體" w:hAnsi="Times New Roman" w:hint="eastAsia"/>
                <w:color w:val="000000" w:themeColor="text1"/>
                <w:szCs w:val="24"/>
              </w:rPr>
              <w:t>基金是否得辦理借款</w:t>
            </w:r>
            <w:r w:rsidR="004841B4" w:rsidRPr="00BD0D85">
              <w:rPr>
                <w:rFonts w:ascii="Times New Roman" w:eastAsia="標楷體" w:hAnsi="Times New Roman" w:hint="eastAsia"/>
                <w:color w:val="000000" w:themeColor="text1"/>
                <w:szCs w:val="24"/>
              </w:rPr>
              <w:t>，如是，請說明是否符合</w:t>
            </w:r>
            <w:r w:rsidRPr="00BD0D85">
              <w:rPr>
                <w:rFonts w:ascii="Times New Roman" w:eastAsia="標楷體" w:hAnsi="Times New Roman" w:hint="eastAsia"/>
                <w:color w:val="000000" w:themeColor="text1"/>
                <w:szCs w:val="24"/>
              </w:rPr>
              <w:t>證券投資信託基金管理辦法第</w:t>
            </w:r>
            <w:r w:rsidRPr="00BD0D85">
              <w:rPr>
                <w:rFonts w:ascii="Times New Roman" w:eastAsia="標楷體" w:hAnsi="Times New Roman" w:hint="eastAsia"/>
                <w:color w:val="000000" w:themeColor="text1"/>
                <w:szCs w:val="24"/>
              </w:rPr>
              <w:t>10-1</w:t>
            </w:r>
            <w:r w:rsidRPr="00BD0D85">
              <w:rPr>
                <w:rFonts w:ascii="Times New Roman" w:eastAsia="標楷體" w:hAnsi="Times New Roman" w:hint="eastAsia"/>
                <w:color w:val="000000" w:themeColor="text1"/>
                <w:szCs w:val="24"/>
              </w:rPr>
              <w:t>條規定。</w:t>
            </w:r>
          </w:p>
          <w:p w:rsidR="00191938" w:rsidRPr="00BD0D85" w:rsidRDefault="00C04611" w:rsidP="00191938">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二、請說明</w:t>
            </w:r>
            <w:r w:rsidR="00191938" w:rsidRPr="00BD0D85">
              <w:rPr>
                <w:rFonts w:ascii="Times New Roman" w:eastAsia="標楷體" w:hAnsi="Times New Roman" w:hint="eastAsia"/>
                <w:color w:val="000000" w:themeColor="text1"/>
                <w:szCs w:val="24"/>
              </w:rPr>
              <w:t>基金清算標準及告知門檻。</w:t>
            </w:r>
          </w:p>
          <w:p w:rsidR="00191938" w:rsidRPr="00BD0D85" w:rsidRDefault="00191938" w:rsidP="00191938">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三、請說明投資人分散計畫。</w:t>
            </w:r>
          </w:p>
          <w:p w:rsidR="00191938" w:rsidRPr="00BD0D85" w:rsidRDefault="00191938" w:rsidP="00191938">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四、請說明保管機構信用評等是否符合規定。</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91938" w:rsidRPr="00BD0D85" w:rsidRDefault="00191938" w:rsidP="00191938">
            <w:pPr>
              <w:spacing w:line="320" w:lineRule="exact"/>
              <w:rPr>
                <w:rFonts w:ascii="Times New Roman" w:eastAsia="標楷體" w:hAnsi="Times New Roman"/>
                <w:color w:val="000000" w:themeColor="text1"/>
                <w:szCs w:val="24"/>
              </w:rPr>
            </w:pPr>
          </w:p>
        </w:tc>
      </w:tr>
      <w:tr w:rsidR="00BD0D85" w:rsidRPr="00BD0D85" w:rsidTr="00E16A10">
        <w:trPr>
          <w:trHeight w:val="941"/>
          <w:jc w:val="center"/>
        </w:trPr>
        <w:tc>
          <w:tcPr>
            <w:tcW w:w="2694" w:type="dxa"/>
            <w:vMerge/>
            <w:tcBorders>
              <w:left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rsidP="00191938">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rsidP="00191938">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rsidP="00191938">
            <w:pPr>
              <w:spacing w:line="320" w:lineRule="exact"/>
              <w:ind w:left="454" w:hanging="564"/>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補充說明事項：</w:t>
            </w:r>
          </w:p>
          <w:p w:rsidR="00F2152D" w:rsidRPr="00BD0D85" w:rsidRDefault="00F2152D" w:rsidP="00191938">
            <w:pPr>
              <w:pStyle w:val="a7"/>
              <w:numPr>
                <w:ilvl w:val="0"/>
                <w:numId w:val="45"/>
              </w:num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shd w:val="clear" w:color="auto" w:fill="FFFFFF"/>
              </w:rPr>
              <w:t>預計銷售通路及金額。</w:t>
            </w:r>
          </w:p>
          <w:p w:rsidR="00F2152D" w:rsidRPr="00BD0D85" w:rsidRDefault="00F2152D" w:rsidP="00DD63A1">
            <w:pPr>
              <w:pStyle w:val="a7"/>
              <w:numPr>
                <w:ilvl w:val="0"/>
                <w:numId w:val="45"/>
              </w:num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shd w:val="clear" w:color="auto" w:fill="FFFFFF"/>
              </w:rPr>
              <w:t>若投信投顧公會審查意見中有備註事項，請就該備註事項補充說明。</w:t>
            </w:r>
          </w:p>
        </w:tc>
      </w:tr>
      <w:tr w:rsidR="00BD0D85" w:rsidRPr="00BD0D85" w:rsidTr="00BB7F0F">
        <w:trPr>
          <w:trHeight w:val="454"/>
          <w:jc w:val="center"/>
        </w:trPr>
        <w:tc>
          <w:tcPr>
            <w:tcW w:w="269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1938" w:rsidRPr="00BD0D85" w:rsidRDefault="00191938" w:rsidP="00191938">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1938" w:rsidRPr="00BD0D85" w:rsidRDefault="00191938" w:rsidP="00191938">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1938" w:rsidRPr="00BD0D85" w:rsidRDefault="00191938" w:rsidP="00191938">
            <w:pPr>
              <w:widowControl/>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7C3D16">
        <w:trPr>
          <w:trHeight w:val="1783"/>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77955" w:rsidRPr="00BD0D85" w:rsidRDefault="00677955" w:rsidP="00AF3AE6">
            <w:pPr>
              <w:widowControl/>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lastRenderedPageBreak/>
              <w:t>投信投顧公會初審意見</w:t>
            </w:r>
          </w:p>
        </w:tc>
        <w:tc>
          <w:tcPr>
            <w:tcW w:w="1200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955" w:rsidRPr="00BD0D85" w:rsidRDefault="00677955" w:rsidP="00191938">
            <w:pPr>
              <w:widowControl/>
              <w:spacing w:line="320" w:lineRule="exact"/>
              <w:rPr>
                <w:rFonts w:ascii="Times New Roman" w:eastAsia="標楷體" w:hAnsi="Times New Roman"/>
                <w:color w:val="000000" w:themeColor="text1"/>
                <w:szCs w:val="24"/>
              </w:rPr>
            </w:pPr>
          </w:p>
        </w:tc>
      </w:tr>
      <w:tr w:rsidR="00677955" w:rsidRPr="00BD0D85" w:rsidTr="007C3D16">
        <w:trPr>
          <w:trHeight w:val="1681"/>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77955" w:rsidRPr="00BD0D85" w:rsidRDefault="00677955" w:rsidP="00AF3AE6">
            <w:pPr>
              <w:widowControl/>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集保綜合審查意見</w:t>
            </w:r>
          </w:p>
          <w:p w:rsidR="00605DF4" w:rsidRPr="00BD0D85" w:rsidRDefault="00605DF4" w:rsidP="00AF3AE6">
            <w:pPr>
              <w:widowControl/>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日期：</w:t>
            </w:r>
            <w:r w:rsidRPr="00BD0D85">
              <w:rPr>
                <w:rFonts w:ascii="Times New Roman" w:eastAsia="標楷體" w:hAnsi="Times New Roman" w:hint="eastAsia"/>
                <w:b/>
                <w:color w:val="000000" w:themeColor="text1"/>
                <w:szCs w:val="24"/>
              </w:rPr>
              <w:t xml:space="preserve">   </w:t>
            </w:r>
            <w:r w:rsidRPr="00BD0D85">
              <w:rPr>
                <w:rFonts w:ascii="Times New Roman" w:eastAsia="標楷體" w:hAnsi="Times New Roman"/>
                <w:b/>
                <w:color w:val="000000" w:themeColor="text1"/>
                <w:szCs w:val="24"/>
              </w:rPr>
              <w:t xml:space="preserve">   /      /      </w:t>
            </w:r>
          </w:p>
        </w:tc>
        <w:tc>
          <w:tcPr>
            <w:tcW w:w="1200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700B" w:rsidRPr="00BD0D85" w:rsidRDefault="0049700B" w:rsidP="0049700B">
            <w:pPr>
              <w:spacing w:line="320" w:lineRule="exact"/>
              <w:ind w:left="466" w:hangingChars="194" w:hanging="466"/>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本案擬辦：□</w:t>
            </w:r>
            <w:proofErr w:type="gramStart"/>
            <w:r w:rsidRPr="00BD0D85">
              <w:rPr>
                <w:rFonts w:ascii="標楷體" w:eastAsia="標楷體" w:hAnsi="標楷體" w:hint="eastAsia"/>
                <w:color w:val="000000" w:themeColor="text1"/>
                <w:szCs w:val="24"/>
              </w:rPr>
              <w:t>核尚無</w:t>
            </w:r>
            <w:proofErr w:type="gramEnd"/>
            <w:r w:rsidRPr="00BD0D85">
              <w:rPr>
                <w:rFonts w:ascii="標楷體" w:eastAsia="標楷體" w:hAnsi="標楷體" w:hint="eastAsia"/>
                <w:color w:val="000000" w:themeColor="text1"/>
                <w:szCs w:val="24"/>
              </w:rPr>
              <w:t>重大異常情事，並自○年○月○日起申報生效。</w:t>
            </w:r>
          </w:p>
          <w:p w:rsidR="0049700B" w:rsidRPr="00BD0D85" w:rsidRDefault="0049700B" w:rsidP="0049700B">
            <w:pPr>
              <w:spacing w:line="320" w:lineRule="exact"/>
              <w:ind w:leftChars="508" w:left="1430" w:hangingChars="88" w:hanging="211"/>
              <w:jc w:val="both"/>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shd w:val="clear" w:color="auto" w:fill="FFFFFF"/>
              </w:rPr>
              <w:t>□依</w:t>
            </w:r>
            <w:r w:rsidRPr="00BD0D85">
              <w:rPr>
                <w:rFonts w:ascii="Times New Roman" w:eastAsia="標楷體" w:hAnsi="Times New Roman" w:hint="eastAsia"/>
                <w:color w:val="000000" w:themeColor="text1"/>
                <w:szCs w:val="24"/>
              </w:rPr>
              <w:t>證券投資信託事業募集證券投資信託基金處理準則第</w:t>
            </w:r>
            <w:r w:rsidRPr="00BD0D85">
              <w:rPr>
                <w:rFonts w:ascii="Times New Roman" w:eastAsia="標楷體" w:hAnsi="Times New Roman" w:hint="eastAsia"/>
                <w:color w:val="000000" w:themeColor="text1"/>
                <w:szCs w:val="24"/>
              </w:rPr>
              <w:t>14</w:t>
            </w:r>
            <w:r w:rsidRPr="00BD0D85">
              <w:rPr>
                <w:rFonts w:ascii="Times New Roman" w:eastAsia="標楷體" w:hAnsi="Times New Roman" w:hint="eastAsia"/>
                <w:color w:val="000000" w:themeColor="text1"/>
                <w:szCs w:val="24"/>
              </w:rPr>
              <w:t>條規定，本案停止申報生效。</w:t>
            </w:r>
          </w:p>
          <w:p w:rsidR="00677955" w:rsidRPr="00BD0D85" w:rsidRDefault="0049700B" w:rsidP="0049700B">
            <w:pPr>
              <w:spacing w:line="320" w:lineRule="exact"/>
              <w:ind w:leftChars="508" w:left="1430" w:hangingChars="88" w:hanging="211"/>
              <w:jc w:val="both"/>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shd w:val="clear" w:color="auto" w:fill="FFFFFF"/>
              </w:rPr>
              <w:t>□依</w:t>
            </w:r>
            <w:r w:rsidRPr="00BD0D85">
              <w:rPr>
                <w:rFonts w:ascii="Times New Roman" w:eastAsia="標楷體" w:hAnsi="Times New Roman" w:hint="eastAsia"/>
                <w:color w:val="000000" w:themeColor="text1"/>
                <w:szCs w:val="24"/>
              </w:rPr>
              <w:t>證券投資信託事業募集證券投資信託基金處理準則第</w:t>
            </w:r>
            <w:r w:rsidRPr="00BD0D85">
              <w:rPr>
                <w:rFonts w:ascii="Times New Roman" w:eastAsia="標楷體" w:hAnsi="Times New Roman" w:hint="eastAsia"/>
                <w:color w:val="000000" w:themeColor="text1"/>
                <w:szCs w:val="24"/>
              </w:rPr>
              <w:t>4</w:t>
            </w:r>
            <w:r w:rsidRPr="00BD0D85">
              <w:rPr>
                <w:rFonts w:ascii="Times New Roman" w:eastAsia="標楷體" w:hAnsi="Times New Roman" w:hint="eastAsia"/>
                <w:color w:val="000000" w:themeColor="text1"/>
                <w:szCs w:val="24"/>
              </w:rPr>
              <w:t>條規定，本案退回或不核准。</w:t>
            </w:r>
          </w:p>
        </w:tc>
      </w:tr>
    </w:tbl>
    <w:p w:rsidR="000330CE" w:rsidRPr="00BD0D85" w:rsidRDefault="000330CE">
      <w:pPr>
        <w:rPr>
          <w:color w:val="000000" w:themeColor="text1"/>
        </w:rPr>
      </w:pPr>
    </w:p>
    <w:p w:rsidR="000330CE" w:rsidRPr="00BD0D85" w:rsidRDefault="000330CE">
      <w:pPr>
        <w:widowControl/>
        <w:suppressAutoHyphens w:val="0"/>
        <w:rPr>
          <w:color w:val="000000" w:themeColor="text1"/>
        </w:rPr>
      </w:pPr>
      <w:r w:rsidRPr="00BD0D85">
        <w:rPr>
          <w:color w:val="000000" w:themeColor="text1"/>
        </w:rPr>
        <w:br w:type="page"/>
      </w:r>
    </w:p>
    <w:p w:rsidR="009A0744" w:rsidRPr="00BD0D85" w:rsidRDefault="00E3427B" w:rsidP="006E23A3">
      <w:pPr>
        <w:pStyle w:val="1"/>
        <w:spacing w:before="0" w:after="0" w:line="240" w:lineRule="auto"/>
        <w:rPr>
          <w:rFonts w:ascii="標楷體" w:eastAsia="標楷體" w:hAnsi="標楷體"/>
          <w:color w:val="000000" w:themeColor="text1"/>
          <w:sz w:val="28"/>
          <w:szCs w:val="28"/>
        </w:rPr>
      </w:pPr>
      <w:bookmarkStart w:id="5" w:name="_肆、目標到期債券型基金應說明事項"/>
      <w:bookmarkEnd w:id="5"/>
      <w:r w:rsidRPr="00BD0D85">
        <w:rPr>
          <w:rFonts w:ascii="標楷體" w:eastAsia="標楷體" w:hAnsi="標楷體" w:hint="eastAsia"/>
          <w:color w:val="000000" w:themeColor="text1"/>
          <w:sz w:val="28"/>
          <w:szCs w:val="28"/>
        </w:rPr>
        <w:lastRenderedPageBreak/>
        <w:t>肆、目標到期債券型基金應說明事項</w:t>
      </w:r>
    </w:p>
    <w:tbl>
      <w:tblPr>
        <w:tblW w:w="5270" w:type="pct"/>
        <w:jc w:val="center"/>
        <w:tblCellMar>
          <w:left w:w="10" w:type="dxa"/>
          <w:right w:w="10" w:type="dxa"/>
        </w:tblCellMar>
        <w:tblLook w:val="04A0" w:firstRow="1" w:lastRow="0" w:firstColumn="1" w:lastColumn="0" w:noHBand="0" w:noVBand="1"/>
      </w:tblPr>
      <w:tblGrid>
        <w:gridCol w:w="2694"/>
        <w:gridCol w:w="1135"/>
        <w:gridCol w:w="8926"/>
        <w:gridCol w:w="1946"/>
      </w:tblGrid>
      <w:tr w:rsidR="00BD0D85" w:rsidRPr="00BD0D85" w:rsidTr="003932A3">
        <w:trPr>
          <w:trHeight w:val="567"/>
          <w:tblHeader/>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0744" w:rsidRPr="00BD0D85" w:rsidRDefault="009A0744" w:rsidP="009A0744">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檢查事項</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0744" w:rsidRPr="00BD0D85" w:rsidRDefault="009A0744" w:rsidP="009A0744">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結論</w:t>
            </w:r>
          </w:p>
        </w:tc>
        <w:tc>
          <w:tcPr>
            <w:tcW w:w="8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0744" w:rsidRPr="00BD0D85" w:rsidRDefault="009A0744" w:rsidP="009A0744">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hint="eastAsia"/>
                <w:b/>
                <w:color w:val="000000" w:themeColor="text1"/>
                <w:sz w:val="28"/>
                <w:szCs w:val="28"/>
              </w:rPr>
              <w:t>證</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券</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投</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資</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信</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託</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事</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業</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說</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明</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9A0744" w:rsidRPr="00BD0D85" w:rsidRDefault="009A0744" w:rsidP="009A0744">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附件索引</w:t>
            </w:r>
          </w:p>
        </w:tc>
      </w:tr>
      <w:tr w:rsidR="00BD0D85" w:rsidRPr="00BD0D85" w:rsidTr="000330CE">
        <w:trPr>
          <w:trHeight w:val="614"/>
          <w:jc w:val="center"/>
        </w:trPr>
        <w:tc>
          <w:tcPr>
            <w:tcW w:w="269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E3427B">
            <w:pPr>
              <w:widowControl/>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目標到期債券</w:t>
            </w:r>
            <w:r w:rsidR="002410E5" w:rsidRPr="00BD0D85">
              <w:rPr>
                <w:rFonts w:ascii="Times New Roman" w:eastAsia="標楷體" w:hAnsi="Times New Roman" w:hint="eastAsia"/>
                <w:b/>
                <w:color w:val="000000" w:themeColor="text1"/>
                <w:szCs w:val="24"/>
              </w:rPr>
              <w:t>型</w:t>
            </w:r>
            <w:r w:rsidRPr="00BD0D85">
              <w:rPr>
                <w:rFonts w:ascii="Times New Roman" w:eastAsia="標楷體" w:hAnsi="Times New Roman" w:hint="eastAsia"/>
                <w:b/>
                <w:color w:val="000000" w:themeColor="text1"/>
                <w:szCs w:val="24"/>
              </w:rPr>
              <w:t>基金之應說明事項是否完整。</w:t>
            </w:r>
          </w:p>
          <w:p w:rsidR="002466C4" w:rsidRPr="00BD0D85" w:rsidRDefault="002466C4" w:rsidP="00630F6C">
            <w:pPr>
              <w:widowControl/>
              <w:tabs>
                <w:tab w:val="left" w:pos="731"/>
              </w:tabs>
              <w:spacing w:line="320" w:lineRule="exact"/>
              <w:ind w:left="462"/>
              <w:jc w:val="both"/>
              <w:rPr>
                <w:rFonts w:ascii="Times New Roman" w:eastAsia="標楷體" w:hAnsi="Times New Roman"/>
                <w:b/>
                <w:color w:val="000000" w:themeColor="text1"/>
                <w:szCs w:val="24"/>
              </w:rPr>
            </w:pPr>
          </w:p>
        </w:tc>
        <w:tc>
          <w:tcPr>
            <w:tcW w:w="113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396FF5">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2466C4" w:rsidRPr="00BD0D85" w:rsidRDefault="002466C4" w:rsidP="00396FF5">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2466C4" w:rsidRPr="00BD0D85" w:rsidRDefault="002466C4" w:rsidP="00396FF5">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466C4" w:rsidRPr="00BD0D85" w:rsidRDefault="002466C4" w:rsidP="00BB7F0F">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請說明投資非投資等級債券比重上限，且該投資比重是否載明於信託契約及公開說明書。</w:t>
            </w:r>
          </w:p>
        </w:tc>
        <w:tc>
          <w:tcPr>
            <w:tcW w:w="1946" w:type="dxa"/>
            <w:tcBorders>
              <w:top w:val="single" w:sz="4" w:space="0" w:color="auto"/>
              <w:left w:val="single" w:sz="4" w:space="0" w:color="auto"/>
              <w:bottom w:val="single" w:sz="4" w:space="0" w:color="000000"/>
              <w:right w:val="single" w:sz="4" w:space="0" w:color="000000"/>
            </w:tcBorders>
            <w:shd w:val="clear" w:color="auto" w:fill="auto"/>
          </w:tcPr>
          <w:p w:rsidR="002466C4" w:rsidRPr="00BD0D85" w:rsidRDefault="002466C4" w:rsidP="00527417">
            <w:pPr>
              <w:spacing w:line="320" w:lineRule="exact"/>
              <w:ind w:left="480" w:hanging="480"/>
              <w:rPr>
                <w:rFonts w:ascii="Times New Roman" w:eastAsia="標楷體" w:hAnsi="Times New Roman"/>
                <w:color w:val="000000" w:themeColor="text1"/>
                <w:szCs w:val="24"/>
                <w:highlight w:val="yellow"/>
              </w:rPr>
            </w:pPr>
          </w:p>
        </w:tc>
      </w:tr>
      <w:tr w:rsidR="00BD0D85" w:rsidRPr="00BD0D85" w:rsidTr="002466C4">
        <w:trPr>
          <w:trHeight w:val="837"/>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527417">
            <w:pPr>
              <w:widowControl/>
              <w:tabs>
                <w:tab w:val="left" w:pos="731"/>
              </w:tabs>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527417">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8307AE">
            <w:pPr>
              <w:spacing w:line="320" w:lineRule="exact"/>
              <w:ind w:left="480" w:hanging="480"/>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補充說明事項：</w:t>
            </w:r>
          </w:p>
          <w:p w:rsidR="002466C4" w:rsidRPr="00BD0D85" w:rsidRDefault="002466C4" w:rsidP="00F2152D">
            <w:pPr>
              <w:spacing w:line="320" w:lineRule="exact"/>
              <w:ind w:left="480" w:rightChars="57" w:right="137" w:hanging="480"/>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一、請說明前兩</w:t>
            </w:r>
            <w:proofErr w:type="gramStart"/>
            <w:r w:rsidRPr="00BD0D85">
              <w:rPr>
                <w:rFonts w:ascii="Times New Roman" w:eastAsia="標楷體" w:hAnsi="Times New Roman" w:hint="eastAsia"/>
                <w:color w:val="000000" w:themeColor="text1"/>
                <w:szCs w:val="24"/>
              </w:rPr>
              <w:t>檔</w:t>
            </w:r>
            <w:proofErr w:type="gramEnd"/>
            <w:r w:rsidRPr="00BD0D85">
              <w:rPr>
                <w:rFonts w:ascii="Times New Roman" w:eastAsia="標楷體" w:hAnsi="Times New Roman" w:hint="eastAsia"/>
                <w:color w:val="000000" w:themeColor="text1"/>
                <w:szCs w:val="24"/>
              </w:rPr>
              <w:t>申報</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請</w:t>
            </w:r>
            <w:r w:rsidRPr="00BD0D85">
              <w:rPr>
                <w:rFonts w:ascii="Times New Roman" w:eastAsia="標楷體" w:hAnsi="Times New Roman"/>
                <w:color w:val="000000" w:themeColor="text1"/>
                <w:szCs w:val="24"/>
              </w:rPr>
              <w:t>)</w:t>
            </w:r>
            <w:r w:rsidRPr="00BD0D85">
              <w:rPr>
                <w:rFonts w:ascii="Times New Roman" w:eastAsia="標楷體" w:hAnsi="Times New Roman" w:hint="eastAsia"/>
                <w:color w:val="000000" w:themeColor="text1"/>
                <w:szCs w:val="24"/>
              </w:rPr>
              <w:t>募集發行之基金類型。</w:t>
            </w:r>
          </w:p>
          <w:p w:rsidR="002466C4" w:rsidRPr="00BD0D85" w:rsidRDefault="002466C4" w:rsidP="00F2152D">
            <w:pPr>
              <w:spacing w:line="320" w:lineRule="exact"/>
              <w:ind w:left="480" w:rightChars="57" w:right="137" w:hanging="480"/>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二、經理費：</w:t>
            </w:r>
          </w:p>
          <w:p w:rsidR="002466C4" w:rsidRPr="00BD0D85" w:rsidRDefault="002466C4" w:rsidP="00AB71EC">
            <w:pPr>
              <w:pStyle w:val="a7"/>
              <w:numPr>
                <w:ilvl w:val="0"/>
                <w:numId w:val="11"/>
              </w:numPr>
              <w:spacing w:line="320" w:lineRule="exact"/>
              <w:ind w:left="880" w:rightChars="57" w:right="137"/>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請說明經理公司之報酬及與銷售機構之經理費分成是否與投信投顧公會「會員及其銷售機構基金通路報酬揭露施行要點」規定相符，目標到期債券基金之經理費，是否以成立日當日收取一筆費用之方式訂定。</w:t>
            </w:r>
          </w:p>
          <w:p w:rsidR="002466C4" w:rsidRPr="00BD0D85" w:rsidRDefault="002466C4" w:rsidP="00AB71EC">
            <w:pPr>
              <w:pStyle w:val="a7"/>
              <w:numPr>
                <w:ilvl w:val="0"/>
                <w:numId w:val="11"/>
              </w:numPr>
              <w:spacing w:line="320" w:lineRule="exact"/>
              <w:ind w:left="880" w:rightChars="57" w:right="137"/>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請說明基金經理費率訂定之合理性，包括但不限於經理費是否合理分配於基金存續</w:t>
            </w:r>
            <w:proofErr w:type="gramStart"/>
            <w:r w:rsidRPr="00BD0D85">
              <w:rPr>
                <w:rFonts w:ascii="Times New Roman" w:eastAsia="標楷體" w:hAnsi="Times New Roman" w:hint="eastAsia"/>
                <w:color w:val="000000" w:themeColor="text1"/>
                <w:szCs w:val="24"/>
              </w:rPr>
              <w:t>期間、</w:t>
            </w:r>
            <w:proofErr w:type="gramEnd"/>
            <w:r w:rsidRPr="00BD0D85">
              <w:rPr>
                <w:rFonts w:ascii="Times New Roman" w:eastAsia="標楷體" w:hAnsi="Times New Roman" w:hint="eastAsia"/>
                <w:color w:val="000000" w:themeColor="text1"/>
                <w:szCs w:val="24"/>
              </w:rPr>
              <w:t>費率設計是否已考量相關經理成本、交易風險及合理利潤及對市場及公司財務之影響度等因素，並應說明經理費分成方式是否亦已考量前開所列因素。</w:t>
            </w:r>
          </w:p>
          <w:p w:rsidR="002466C4" w:rsidRPr="00BD0D85" w:rsidRDefault="002466C4" w:rsidP="00F2152D">
            <w:pPr>
              <w:spacing w:line="320" w:lineRule="exact"/>
              <w:ind w:left="449" w:rightChars="57" w:right="137" w:hangingChars="187" w:hanging="449"/>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三、投資債券到期年期之合理性：</w:t>
            </w:r>
          </w:p>
          <w:p w:rsidR="002466C4" w:rsidRPr="00BD0D85" w:rsidRDefault="002466C4" w:rsidP="00F2152D">
            <w:pPr>
              <w:pStyle w:val="a7"/>
              <w:numPr>
                <w:ilvl w:val="0"/>
                <w:numId w:val="12"/>
              </w:numPr>
              <w:spacing w:line="320" w:lineRule="exact"/>
              <w:ind w:left="875" w:rightChars="57" w:right="137"/>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請說明存續期間預期配置，基金是否主要（至少</w:t>
            </w:r>
            <w:r w:rsidRPr="00BD0D85">
              <w:rPr>
                <w:rFonts w:ascii="Times New Roman" w:eastAsia="標楷體" w:hAnsi="Times New Roman"/>
                <w:color w:val="000000" w:themeColor="text1"/>
                <w:szCs w:val="24"/>
              </w:rPr>
              <w:t>60%</w:t>
            </w:r>
            <w:r w:rsidRPr="00BD0D85">
              <w:rPr>
                <w:rFonts w:ascii="Times New Roman" w:eastAsia="標楷體" w:hAnsi="Times New Roman" w:hint="eastAsia"/>
                <w:color w:val="000000" w:themeColor="text1"/>
                <w:szCs w:val="24"/>
              </w:rPr>
              <w:t>）投資於與基金到期日年期相當之債券。</w:t>
            </w:r>
          </w:p>
          <w:p w:rsidR="002466C4" w:rsidRPr="00BD0D85" w:rsidRDefault="002466C4" w:rsidP="00F2152D">
            <w:pPr>
              <w:pStyle w:val="a7"/>
              <w:numPr>
                <w:ilvl w:val="0"/>
                <w:numId w:val="12"/>
              </w:numPr>
              <w:spacing w:line="320" w:lineRule="exact"/>
              <w:ind w:left="875" w:rightChars="57" w:right="137"/>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請說明基金整體資產組合加權平均存續期間不受一年以上限制的特殊情形之合理性。</w:t>
            </w:r>
          </w:p>
          <w:p w:rsidR="002466C4" w:rsidRPr="00BD0D85" w:rsidRDefault="002466C4" w:rsidP="00F2152D">
            <w:pPr>
              <w:spacing w:line="320" w:lineRule="exact"/>
              <w:ind w:left="480" w:rightChars="57" w:right="137" w:hanging="480"/>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四、公司是否依基金投資債券或固定收益證券之到期年限及信用評等分別列示投資比重，並評估基金預計模擬投資組合之違約風險及因應措施。</w:t>
            </w:r>
          </w:p>
          <w:p w:rsidR="002466C4" w:rsidRPr="00BD0D85" w:rsidRDefault="002466C4" w:rsidP="00F2152D">
            <w:pPr>
              <w:spacing w:line="320" w:lineRule="exact"/>
              <w:ind w:left="480" w:rightChars="57" w:right="137" w:hanging="480"/>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五、請說明基金是否透過投資型保單連結銷售，如有應說明所合作保險公司之保單，對該類基金商品之資訊揭露是否充分透明予投資人知悉。</w:t>
            </w:r>
          </w:p>
        </w:tc>
      </w:tr>
      <w:tr w:rsidR="002466C4" w:rsidRPr="00BD0D85" w:rsidTr="00630F6C">
        <w:trPr>
          <w:trHeight w:val="837"/>
          <w:jc w:val="center"/>
        </w:trPr>
        <w:tc>
          <w:tcPr>
            <w:tcW w:w="2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527417">
            <w:pPr>
              <w:widowControl/>
              <w:tabs>
                <w:tab w:val="left" w:pos="731"/>
              </w:tabs>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527417">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BB7F0F">
            <w:pPr>
              <w:widowControl/>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bl>
    <w:p w:rsidR="00BB7F0F" w:rsidRPr="00BD0D85" w:rsidRDefault="00BB7F0F">
      <w:pPr>
        <w:rPr>
          <w:color w:val="000000" w:themeColor="text1"/>
        </w:rPr>
      </w:pPr>
    </w:p>
    <w:p w:rsidR="00BB7F0F" w:rsidRPr="00BD0D85" w:rsidRDefault="00BB7F0F">
      <w:pPr>
        <w:widowControl/>
        <w:suppressAutoHyphens w:val="0"/>
        <w:rPr>
          <w:color w:val="000000" w:themeColor="text1"/>
        </w:rPr>
      </w:pPr>
      <w:r w:rsidRPr="00BD0D85">
        <w:rPr>
          <w:color w:val="000000" w:themeColor="text1"/>
        </w:rPr>
        <w:br w:type="page"/>
      </w:r>
    </w:p>
    <w:p w:rsidR="000330CE" w:rsidRPr="00BD0D85" w:rsidRDefault="000330CE" w:rsidP="006E23A3">
      <w:pPr>
        <w:pStyle w:val="1"/>
        <w:spacing w:before="0" w:after="0" w:line="240" w:lineRule="auto"/>
        <w:rPr>
          <w:rFonts w:ascii="標楷體" w:eastAsia="標楷體" w:hAnsi="標楷體"/>
          <w:color w:val="000000" w:themeColor="text1"/>
          <w:sz w:val="28"/>
          <w:szCs w:val="28"/>
        </w:rPr>
      </w:pPr>
      <w:bookmarkStart w:id="6" w:name="_伍、ESG相關主題基金應說明事項"/>
      <w:bookmarkEnd w:id="6"/>
      <w:r w:rsidRPr="00BD0D85">
        <w:rPr>
          <w:rFonts w:ascii="標楷體" w:eastAsia="標楷體" w:hAnsi="標楷體" w:hint="eastAsia"/>
          <w:color w:val="000000" w:themeColor="text1"/>
          <w:sz w:val="28"/>
          <w:szCs w:val="28"/>
        </w:rPr>
        <w:lastRenderedPageBreak/>
        <w:t>伍、</w:t>
      </w:r>
      <w:r w:rsidRPr="00BD0D85">
        <w:rPr>
          <w:rFonts w:ascii="標楷體" w:eastAsia="標楷體" w:hAnsi="標楷體"/>
          <w:color w:val="000000" w:themeColor="text1"/>
          <w:sz w:val="28"/>
          <w:szCs w:val="28"/>
        </w:rPr>
        <w:t>ESG相關主題基金</w:t>
      </w:r>
      <w:r w:rsidRPr="00BD0D85">
        <w:rPr>
          <w:rFonts w:ascii="標楷體" w:eastAsia="標楷體" w:hAnsi="標楷體" w:hint="eastAsia"/>
          <w:color w:val="000000" w:themeColor="text1"/>
          <w:sz w:val="28"/>
          <w:szCs w:val="28"/>
        </w:rPr>
        <w:t>應說明事項</w:t>
      </w:r>
    </w:p>
    <w:tbl>
      <w:tblPr>
        <w:tblW w:w="5270" w:type="pct"/>
        <w:jc w:val="center"/>
        <w:tblCellMar>
          <w:left w:w="10" w:type="dxa"/>
          <w:right w:w="10" w:type="dxa"/>
        </w:tblCellMar>
        <w:tblLook w:val="04A0" w:firstRow="1" w:lastRow="0" w:firstColumn="1" w:lastColumn="0" w:noHBand="0" w:noVBand="1"/>
      </w:tblPr>
      <w:tblGrid>
        <w:gridCol w:w="2694"/>
        <w:gridCol w:w="1135"/>
        <w:gridCol w:w="8926"/>
        <w:gridCol w:w="1946"/>
      </w:tblGrid>
      <w:tr w:rsidR="00BD0D85" w:rsidRPr="00BD0D85" w:rsidTr="000330CE">
        <w:trPr>
          <w:trHeight w:val="567"/>
          <w:tblHeader/>
          <w:jc w:val="center"/>
        </w:trPr>
        <w:tc>
          <w:tcPr>
            <w:tcW w:w="2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330CE" w:rsidRPr="00BD0D85" w:rsidRDefault="000330CE" w:rsidP="000330CE">
            <w:pPr>
              <w:spacing w:line="320" w:lineRule="exact"/>
              <w:jc w:val="center"/>
              <w:rPr>
                <w:rFonts w:ascii="Times New Roman" w:eastAsia="標楷體" w:hAnsi="Times New Roman"/>
                <w:b/>
                <w:color w:val="000000" w:themeColor="text1"/>
                <w:sz w:val="28"/>
                <w:szCs w:val="28"/>
              </w:rPr>
            </w:pPr>
            <w:r w:rsidRPr="00BD0D85">
              <w:rPr>
                <w:color w:val="000000" w:themeColor="text1"/>
              </w:rPr>
              <w:br w:type="page"/>
            </w:r>
            <w:r w:rsidRPr="00BD0D85">
              <w:rPr>
                <w:rFonts w:ascii="Times New Roman" w:eastAsia="標楷體" w:hAnsi="Times New Roman"/>
                <w:b/>
                <w:color w:val="000000" w:themeColor="text1"/>
                <w:sz w:val="28"/>
                <w:szCs w:val="28"/>
              </w:rPr>
              <w:t>檢查事項</w:t>
            </w:r>
          </w:p>
        </w:tc>
        <w:tc>
          <w:tcPr>
            <w:tcW w:w="11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330CE" w:rsidRPr="00BD0D85" w:rsidRDefault="000330CE" w:rsidP="000330CE">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結論</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0CE" w:rsidRPr="00BD0D85" w:rsidRDefault="000330CE" w:rsidP="000330CE">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hint="eastAsia"/>
                <w:b/>
                <w:color w:val="000000" w:themeColor="text1"/>
                <w:sz w:val="28"/>
                <w:szCs w:val="28"/>
              </w:rPr>
              <w:t>證</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券</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投</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資</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信</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託</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事</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業</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說</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明</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0CE" w:rsidRPr="00BD0D85" w:rsidRDefault="000330CE" w:rsidP="000330CE">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附件索引</w:t>
            </w:r>
          </w:p>
        </w:tc>
      </w:tr>
      <w:tr w:rsidR="00BD0D85" w:rsidRPr="00BD0D85" w:rsidTr="000330CE">
        <w:trPr>
          <w:trHeight w:val="20"/>
          <w:jc w:val="center"/>
        </w:trPr>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0330CE">
            <w:pPr>
              <w:widowControl/>
              <w:tabs>
                <w:tab w:val="left" w:pos="457"/>
              </w:tabs>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b/>
                <w:color w:val="000000" w:themeColor="text1"/>
                <w:szCs w:val="24"/>
              </w:rPr>
              <w:t>若為</w:t>
            </w:r>
            <w:r w:rsidRPr="00BD0D85">
              <w:rPr>
                <w:rFonts w:ascii="Times New Roman" w:eastAsia="標楷體" w:hAnsi="Times New Roman"/>
                <w:b/>
                <w:color w:val="000000" w:themeColor="text1"/>
                <w:szCs w:val="24"/>
              </w:rPr>
              <w:t>ESG</w:t>
            </w:r>
            <w:r w:rsidRPr="00BD0D85">
              <w:rPr>
                <w:rFonts w:ascii="Times New Roman" w:eastAsia="標楷體" w:hAnsi="Times New Roman"/>
                <w:b/>
                <w:color w:val="000000" w:themeColor="text1"/>
                <w:szCs w:val="24"/>
              </w:rPr>
              <w:t>相關主題基金，是否依「證券投資信託事業募集證券投資信託基金公開說明書應行記載事項準則」規定，於公開說明書封面及內文揭露</w:t>
            </w:r>
            <w:r w:rsidRPr="00BD0D85">
              <w:rPr>
                <w:rFonts w:ascii="Times New Roman" w:eastAsia="標楷體" w:hAnsi="Times New Roman"/>
                <w:b/>
                <w:color w:val="000000" w:themeColor="text1"/>
                <w:szCs w:val="24"/>
              </w:rPr>
              <w:t>ESG</w:t>
            </w:r>
            <w:r w:rsidRPr="00BD0D85">
              <w:rPr>
                <w:rFonts w:ascii="Times New Roman" w:eastAsia="標楷體" w:hAnsi="Times New Roman"/>
                <w:b/>
                <w:color w:val="000000" w:themeColor="text1"/>
                <w:szCs w:val="24"/>
              </w:rPr>
              <w:t>相關資訊。</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是</w:t>
            </w:r>
          </w:p>
          <w:p w:rsidR="002466C4" w:rsidRPr="00BD0D85" w:rsidRDefault="002466C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color w:val="000000" w:themeColor="text1"/>
                <w:szCs w:val="24"/>
              </w:rPr>
              <w:t>否</w:t>
            </w:r>
          </w:p>
          <w:p w:rsidR="002466C4" w:rsidRPr="00BD0D85" w:rsidRDefault="002466C4">
            <w:pPr>
              <w:widowControl/>
              <w:spacing w:line="320" w:lineRule="exact"/>
              <w:rPr>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rsidP="00CC5FDF">
            <w:pPr>
              <w:pStyle w:val="a7"/>
              <w:numPr>
                <w:ilvl w:val="0"/>
                <w:numId w:val="3"/>
              </w:numPr>
              <w:spacing w:line="320" w:lineRule="exact"/>
              <w:ind w:left="455"/>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投資目標與衡量標準</w:t>
            </w:r>
            <w:r w:rsidRPr="00BD0D85">
              <w:rPr>
                <w:rFonts w:ascii="Times New Roman" w:eastAsia="標楷體" w:hAnsi="Times New Roman"/>
                <w:color w:val="000000" w:themeColor="text1"/>
                <w:szCs w:val="24"/>
              </w:rPr>
              <w:t xml:space="preserve"> </w:t>
            </w:r>
          </w:p>
          <w:p w:rsidR="002466C4" w:rsidRPr="00BD0D85" w:rsidRDefault="002466C4" w:rsidP="00CC5FDF">
            <w:pPr>
              <w:pStyle w:val="a7"/>
              <w:numPr>
                <w:ilvl w:val="0"/>
                <w:numId w:val="3"/>
              </w:numPr>
              <w:spacing w:line="320" w:lineRule="exact"/>
              <w:ind w:left="455"/>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投資策略與方法</w:t>
            </w:r>
          </w:p>
          <w:p w:rsidR="002466C4" w:rsidRPr="00BD0D85" w:rsidRDefault="002466C4" w:rsidP="00CC5FDF">
            <w:pPr>
              <w:pStyle w:val="a7"/>
              <w:numPr>
                <w:ilvl w:val="0"/>
                <w:numId w:val="3"/>
              </w:numPr>
              <w:spacing w:line="320" w:lineRule="exact"/>
              <w:ind w:left="455"/>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投資比例配置</w:t>
            </w:r>
          </w:p>
          <w:p w:rsidR="002466C4" w:rsidRPr="00BD0D85" w:rsidRDefault="002466C4" w:rsidP="00CC5FDF">
            <w:pPr>
              <w:pStyle w:val="a7"/>
              <w:numPr>
                <w:ilvl w:val="0"/>
                <w:numId w:val="3"/>
              </w:numPr>
              <w:spacing w:line="320" w:lineRule="exact"/>
              <w:ind w:left="455"/>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績效參考指標</w:t>
            </w:r>
          </w:p>
          <w:p w:rsidR="002466C4" w:rsidRPr="00BD0D85" w:rsidRDefault="002466C4" w:rsidP="00CC5FDF">
            <w:pPr>
              <w:pStyle w:val="a7"/>
              <w:numPr>
                <w:ilvl w:val="0"/>
                <w:numId w:val="3"/>
              </w:numPr>
              <w:spacing w:line="320" w:lineRule="exact"/>
              <w:ind w:left="455"/>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排除政策</w:t>
            </w:r>
          </w:p>
          <w:p w:rsidR="002466C4" w:rsidRPr="00BD0D85" w:rsidRDefault="002466C4" w:rsidP="00CC5FDF">
            <w:pPr>
              <w:pStyle w:val="a7"/>
              <w:numPr>
                <w:ilvl w:val="0"/>
                <w:numId w:val="3"/>
              </w:numPr>
              <w:spacing w:line="320" w:lineRule="exact"/>
              <w:ind w:left="455"/>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風險警語</w:t>
            </w:r>
          </w:p>
          <w:p w:rsidR="002466C4" w:rsidRPr="00BD0D85" w:rsidRDefault="002466C4" w:rsidP="00CC5FDF">
            <w:pPr>
              <w:pStyle w:val="a7"/>
              <w:numPr>
                <w:ilvl w:val="0"/>
                <w:numId w:val="3"/>
              </w:numPr>
              <w:spacing w:line="320" w:lineRule="exact"/>
              <w:ind w:left="455"/>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盡職治理參與</w:t>
            </w:r>
          </w:p>
          <w:p w:rsidR="002466C4" w:rsidRPr="00BD0D85" w:rsidRDefault="002466C4" w:rsidP="00CC5FDF">
            <w:pPr>
              <w:pStyle w:val="a7"/>
              <w:numPr>
                <w:ilvl w:val="0"/>
                <w:numId w:val="3"/>
              </w:numPr>
              <w:spacing w:line="320" w:lineRule="exact"/>
              <w:ind w:left="455"/>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定期揭露</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6C4" w:rsidRPr="00BD0D85" w:rsidRDefault="002466C4">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FE3151">
        <w:trPr>
          <w:trHeight w:val="20"/>
          <w:jc w:val="center"/>
        </w:trPr>
        <w:tc>
          <w:tcPr>
            <w:tcW w:w="2694"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6F60DB">
            <w:pPr>
              <w:spacing w:line="320" w:lineRule="exact"/>
              <w:ind w:left="480" w:hanging="48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CC5FDF">
            <w:pPr>
              <w:pStyle w:val="a7"/>
              <w:numPr>
                <w:ilvl w:val="0"/>
                <w:numId w:val="7"/>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ESG</w:t>
            </w:r>
            <w:r w:rsidRPr="00BD0D85">
              <w:rPr>
                <w:rFonts w:ascii="Times New Roman" w:eastAsia="標楷體" w:hAnsi="Times New Roman"/>
                <w:color w:val="000000" w:themeColor="text1"/>
                <w:szCs w:val="24"/>
              </w:rPr>
              <w:t>標準</w:t>
            </w: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如超過特定等級或分數才納入</w:t>
            </w: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設定之考量。</w:t>
            </w:r>
          </w:p>
          <w:p w:rsidR="00F2152D" w:rsidRPr="00BD0D85" w:rsidRDefault="00F2152D" w:rsidP="00A027A0">
            <w:pPr>
              <w:pStyle w:val="a7"/>
              <w:numPr>
                <w:ilvl w:val="0"/>
                <w:numId w:val="7"/>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ab/>
            </w:r>
            <w:r w:rsidRPr="00BD0D85">
              <w:rPr>
                <w:rFonts w:ascii="Times New Roman" w:eastAsia="標楷體" w:hAnsi="Times New Roman" w:hint="eastAsia"/>
                <w:color w:val="000000" w:themeColor="text1"/>
                <w:szCs w:val="24"/>
              </w:rPr>
              <w:t>請說明各項篩選標準下之篩選結果（從母體、流動性、每一項篩選指標至排序結果，各階段不符檔數與篩選後檔數，並簡述篩選內容）。</w:t>
            </w:r>
          </w:p>
          <w:p w:rsidR="00F2152D" w:rsidRPr="00BD0D85" w:rsidRDefault="00F2152D" w:rsidP="00A027A0">
            <w:pPr>
              <w:pStyle w:val="a7"/>
              <w:numPr>
                <w:ilvl w:val="0"/>
                <w:numId w:val="7"/>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請說明投資標的之</w:t>
            </w:r>
            <w:r w:rsidRPr="00BD0D85">
              <w:rPr>
                <w:rFonts w:ascii="Times New Roman" w:eastAsia="標楷體" w:hAnsi="Times New Roman" w:hint="eastAsia"/>
                <w:color w:val="000000" w:themeColor="text1"/>
                <w:szCs w:val="24"/>
              </w:rPr>
              <w:t>ESG</w:t>
            </w:r>
            <w:r w:rsidRPr="00BD0D85">
              <w:rPr>
                <w:rFonts w:ascii="Times New Roman" w:eastAsia="標楷體" w:hAnsi="Times New Roman" w:hint="eastAsia"/>
                <w:color w:val="000000" w:themeColor="text1"/>
                <w:szCs w:val="24"/>
              </w:rPr>
              <w:t>評等，相較未經</w:t>
            </w:r>
            <w:r w:rsidRPr="00BD0D85">
              <w:rPr>
                <w:rFonts w:ascii="Times New Roman" w:eastAsia="標楷體" w:hAnsi="Times New Roman" w:hint="eastAsia"/>
                <w:color w:val="000000" w:themeColor="text1"/>
                <w:szCs w:val="24"/>
              </w:rPr>
              <w:t>ESG</w:t>
            </w:r>
            <w:r w:rsidRPr="00BD0D85">
              <w:rPr>
                <w:rFonts w:ascii="Times New Roman" w:eastAsia="標楷體" w:hAnsi="Times New Roman" w:hint="eastAsia"/>
                <w:color w:val="000000" w:themeColor="text1"/>
                <w:szCs w:val="24"/>
              </w:rPr>
              <w:t>篩選前之投資標的，</w:t>
            </w:r>
            <w:r w:rsidRPr="00BD0D85">
              <w:rPr>
                <w:rFonts w:ascii="Times New Roman" w:eastAsia="標楷體" w:hAnsi="Times New Roman" w:hint="eastAsia"/>
                <w:color w:val="000000" w:themeColor="text1"/>
                <w:szCs w:val="24"/>
              </w:rPr>
              <w:t>ESG</w:t>
            </w:r>
            <w:r w:rsidRPr="00BD0D85">
              <w:rPr>
                <w:rFonts w:ascii="Times New Roman" w:eastAsia="標楷體" w:hAnsi="Times New Roman" w:hint="eastAsia"/>
                <w:color w:val="000000" w:themeColor="text1"/>
                <w:szCs w:val="24"/>
              </w:rPr>
              <w:t>評等篩選規則是否具有效性？請提供評等提升之量化數據。</w:t>
            </w:r>
          </w:p>
          <w:p w:rsidR="00F2152D" w:rsidRPr="00BD0D85" w:rsidRDefault="00F2152D" w:rsidP="00CC5FDF">
            <w:pPr>
              <w:pStyle w:val="a7"/>
              <w:numPr>
                <w:ilvl w:val="0"/>
                <w:numId w:val="7"/>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投資標的</w:t>
            </w:r>
            <w:r w:rsidRPr="00BD0D85">
              <w:rPr>
                <w:rFonts w:ascii="Times New Roman" w:eastAsia="標楷體" w:hAnsi="Times New Roman"/>
                <w:color w:val="000000" w:themeColor="text1"/>
                <w:szCs w:val="24"/>
              </w:rPr>
              <w:t>ESG</w:t>
            </w:r>
            <w:r w:rsidRPr="00BD0D85">
              <w:rPr>
                <w:rFonts w:ascii="Times New Roman" w:eastAsia="標楷體" w:hAnsi="Times New Roman"/>
                <w:color w:val="000000" w:themeColor="text1"/>
                <w:szCs w:val="24"/>
              </w:rPr>
              <w:t>等級或分數分布情形。</w:t>
            </w:r>
          </w:p>
          <w:p w:rsidR="00F2152D" w:rsidRPr="00BD0D85" w:rsidRDefault="00F2152D" w:rsidP="006868AB">
            <w:pPr>
              <w:pStyle w:val="a7"/>
              <w:numPr>
                <w:ilvl w:val="0"/>
                <w:numId w:val="7"/>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請就預計模擬投資組合中擇</w:t>
            </w:r>
            <w:proofErr w:type="gramStart"/>
            <w:r w:rsidRPr="00BD0D85">
              <w:rPr>
                <w:rFonts w:ascii="Times New Roman" w:eastAsia="標楷體" w:hAnsi="Times New Roman" w:hint="eastAsia"/>
                <w:color w:val="000000" w:themeColor="text1"/>
                <w:szCs w:val="24"/>
              </w:rPr>
              <w:t>一</w:t>
            </w:r>
            <w:proofErr w:type="gramEnd"/>
            <w:r w:rsidRPr="00BD0D85">
              <w:rPr>
                <w:rFonts w:ascii="Times New Roman" w:eastAsia="標楷體" w:hAnsi="Times New Roman" w:hint="eastAsia"/>
                <w:color w:val="000000" w:themeColor="text1"/>
                <w:szCs w:val="24"/>
              </w:rPr>
              <w:t>投資標</w:t>
            </w:r>
            <w:proofErr w:type="gramStart"/>
            <w:r w:rsidRPr="00BD0D85">
              <w:rPr>
                <w:rFonts w:ascii="Times New Roman" w:eastAsia="標楷體" w:hAnsi="Times New Roman" w:hint="eastAsia"/>
                <w:color w:val="000000" w:themeColor="text1"/>
                <w:szCs w:val="24"/>
              </w:rPr>
              <w:t>的釋例說明</w:t>
            </w:r>
            <w:proofErr w:type="gramEnd"/>
            <w:r w:rsidRPr="00BD0D85">
              <w:rPr>
                <w:rFonts w:ascii="Times New Roman" w:eastAsia="標楷體" w:hAnsi="Times New Roman" w:hint="eastAsia"/>
                <w:color w:val="000000" w:themeColor="text1"/>
                <w:szCs w:val="24"/>
              </w:rPr>
              <w:t>ESG</w:t>
            </w:r>
            <w:r w:rsidRPr="00BD0D85">
              <w:rPr>
                <w:rFonts w:ascii="Times New Roman" w:eastAsia="標楷體" w:hAnsi="Times New Roman" w:hint="eastAsia"/>
                <w:color w:val="000000" w:themeColor="text1"/>
                <w:szCs w:val="24"/>
              </w:rPr>
              <w:t>篩選流程。</w:t>
            </w:r>
          </w:p>
          <w:p w:rsidR="00F2152D" w:rsidRPr="00BD0D85" w:rsidRDefault="00F2152D" w:rsidP="00DD63A1">
            <w:pPr>
              <w:pStyle w:val="a7"/>
              <w:numPr>
                <w:ilvl w:val="0"/>
                <w:numId w:val="7"/>
              </w:num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請詳述未符合</w:t>
            </w:r>
            <w:r w:rsidRPr="00BD0D85">
              <w:rPr>
                <w:rFonts w:ascii="Times New Roman" w:eastAsia="標楷體" w:hAnsi="Times New Roman"/>
                <w:color w:val="000000" w:themeColor="text1"/>
                <w:szCs w:val="24"/>
              </w:rPr>
              <w:t>ESG</w:t>
            </w:r>
            <w:r w:rsidRPr="00BD0D85">
              <w:rPr>
                <w:rFonts w:ascii="Times New Roman" w:eastAsia="標楷體" w:hAnsi="Times New Roman" w:hint="eastAsia"/>
                <w:color w:val="000000" w:themeColor="text1"/>
                <w:szCs w:val="24"/>
              </w:rPr>
              <w:t>標準部位</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如基金投資符合</w:t>
            </w:r>
            <w:r w:rsidRPr="00BD0D85">
              <w:rPr>
                <w:rFonts w:ascii="Times New Roman" w:eastAsia="標楷體" w:hAnsi="Times New Roman" w:hint="eastAsia"/>
                <w:color w:val="000000" w:themeColor="text1"/>
                <w:szCs w:val="24"/>
              </w:rPr>
              <w:t>ESG</w:t>
            </w:r>
            <w:r w:rsidRPr="00BD0D85">
              <w:rPr>
                <w:rFonts w:ascii="Times New Roman" w:eastAsia="標楷體" w:hAnsi="Times New Roman" w:hint="eastAsia"/>
                <w:color w:val="000000" w:themeColor="text1"/>
                <w:szCs w:val="24"/>
              </w:rPr>
              <w:t>標準比例達</w:t>
            </w:r>
            <w:r w:rsidRPr="00BD0D85">
              <w:rPr>
                <w:rFonts w:ascii="Times New Roman" w:eastAsia="標楷體" w:hAnsi="Times New Roman" w:hint="eastAsia"/>
                <w:color w:val="000000" w:themeColor="text1"/>
                <w:szCs w:val="24"/>
              </w:rPr>
              <w:t>70%</w:t>
            </w:r>
            <w:r w:rsidRPr="00BD0D85">
              <w:rPr>
                <w:rFonts w:ascii="Times New Roman" w:eastAsia="標楷體" w:hAnsi="Times New Roman" w:hint="eastAsia"/>
                <w:color w:val="000000" w:themeColor="text1"/>
                <w:szCs w:val="24"/>
              </w:rPr>
              <w:t>，剩餘</w:t>
            </w:r>
            <w:r w:rsidRPr="00BD0D85">
              <w:rPr>
                <w:rFonts w:ascii="Times New Roman" w:eastAsia="標楷體" w:hAnsi="Times New Roman" w:hint="eastAsia"/>
                <w:color w:val="000000" w:themeColor="text1"/>
                <w:szCs w:val="24"/>
              </w:rPr>
              <w:t>30%</w:t>
            </w:r>
            <w:r w:rsidRPr="00BD0D85">
              <w:rPr>
                <w:rFonts w:ascii="Times New Roman" w:eastAsia="標楷體" w:hAnsi="Times New Roman" w:hint="eastAsia"/>
                <w:color w:val="000000" w:themeColor="text1"/>
                <w:szCs w:val="24"/>
              </w:rPr>
              <w:t>之部分</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之投資策略及具體運用方式，並說明如何確保基金資產整體運用不會對永續投資目標造成重大損害。</w:t>
            </w:r>
          </w:p>
        </w:tc>
      </w:tr>
      <w:tr w:rsidR="00B043A0" w:rsidRPr="00BD0D85" w:rsidTr="00D9709D">
        <w:trPr>
          <w:trHeight w:val="20"/>
          <w:jc w:val="center"/>
        </w:trPr>
        <w:tc>
          <w:tcPr>
            <w:tcW w:w="269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2466C4">
            <w:pPr>
              <w:widowControl/>
              <w:spacing w:line="320" w:lineRule="exact"/>
              <w:rPr>
                <w:rFonts w:ascii="標楷體" w:eastAsia="標楷體" w:hAnsi="標楷體"/>
                <w:color w:val="000000" w:themeColor="text1"/>
                <w:szCs w:val="24"/>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p w:rsidR="00B043A0" w:rsidRPr="00BD0D85" w:rsidRDefault="00B043A0">
            <w:pPr>
              <w:spacing w:line="320" w:lineRule="exact"/>
              <w:jc w:val="both"/>
              <w:rPr>
                <w:rFonts w:ascii="Times New Roman" w:eastAsia="標楷體" w:hAnsi="Times New Roman"/>
                <w:color w:val="000000" w:themeColor="text1"/>
                <w:szCs w:val="24"/>
                <w:shd w:val="clear" w:color="auto" w:fill="FFFFFF"/>
              </w:rPr>
            </w:pPr>
          </w:p>
        </w:tc>
      </w:tr>
    </w:tbl>
    <w:p w:rsidR="003932A3" w:rsidRPr="00BD0D85" w:rsidRDefault="003932A3">
      <w:pPr>
        <w:rPr>
          <w:rFonts w:ascii="Times New Roman" w:eastAsia="標楷體" w:hAnsi="Times New Roman"/>
          <w:b/>
          <w:color w:val="000000" w:themeColor="text1"/>
          <w:sz w:val="28"/>
          <w:szCs w:val="28"/>
        </w:rPr>
      </w:pPr>
    </w:p>
    <w:p w:rsidR="003932A3" w:rsidRPr="00BD0D85" w:rsidRDefault="003932A3">
      <w:pPr>
        <w:widowControl/>
        <w:suppressAutoHyphens w:val="0"/>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br w:type="page"/>
      </w:r>
    </w:p>
    <w:p w:rsidR="000330CE" w:rsidRPr="00BD0D85" w:rsidRDefault="003932A3" w:rsidP="006E23A3">
      <w:pPr>
        <w:pStyle w:val="1"/>
        <w:spacing w:before="0" w:after="0" w:line="240" w:lineRule="auto"/>
        <w:rPr>
          <w:rFonts w:ascii="標楷體" w:eastAsia="標楷體" w:hAnsi="標楷體"/>
          <w:color w:val="000000" w:themeColor="text1"/>
          <w:sz w:val="28"/>
          <w:szCs w:val="28"/>
        </w:rPr>
      </w:pPr>
      <w:bookmarkStart w:id="7" w:name="_陸、多重資產型基金應說明事項"/>
      <w:bookmarkEnd w:id="7"/>
      <w:r w:rsidRPr="00BD0D85">
        <w:rPr>
          <w:rFonts w:ascii="標楷體" w:eastAsia="標楷體" w:hAnsi="標楷體" w:hint="eastAsia"/>
          <w:color w:val="000000" w:themeColor="text1"/>
          <w:sz w:val="28"/>
          <w:szCs w:val="28"/>
        </w:rPr>
        <w:lastRenderedPageBreak/>
        <w:t>陸、多重資產型</w:t>
      </w:r>
      <w:r w:rsidRPr="00BD0D85">
        <w:rPr>
          <w:rFonts w:ascii="標楷體" w:eastAsia="標楷體" w:hAnsi="標楷體"/>
          <w:color w:val="000000" w:themeColor="text1"/>
          <w:sz w:val="28"/>
          <w:szCs w:val="28"/>
        </w:rPr>
        <w:t>基金</w:t>
      </w:r>
      <w:r w:rsidRPr="00BD0D85">
        <w:rPr>
          <w:rFonts w:ascii="標楷體" w:eastAsia="標楷體" w:hAnsi="標楷體" w:hint="eastAsia"/>
          <w:color w:val="000000" w:themeColor="text1"/>
          <w:sz w:val="28"/>
          <w:szCs w:val="28"/>
        </w:rPr>
        <w:t>應說明事項</w:t>
      </w:r>
    </w:p>
    <w:tbl>
      <w:tblPr>
        <w:tblW w:w="5270" w:type="pct"/>
        <w:jc w:val="center"/>
        <w:tblCellMar>
          <w:left w:w="10" w:type="dxa"/>
          <w:right w:w="10" w:type="dxa"/>
        </w:tblCellMar>
        <w:tblLook w:val="04A0" w:firstRow="1" w:lastRow="0" w:firstColumn="1" w:lastColumn="0" w:noHBand="0" w:noVBand="1"/>
      </w:tblPr>
      <w:tblGrid>
        <w:gridCol w:w="2694"/>
        <w:gridCol w:w="1135"/>
        <w:gridCol w:w="8926"/>
        <w:gridCol w:w="1946"/>
      </w:tblGrid>
      <w:tr w:rsidR="00BD0D85" w:rsidRPr="00BD0D85" w:rsidTr="003932A3">
        <w:trPr>
          <w:trHeight w:val="567"/>
          <w:tblHeader/>
          <w:jc w:val="center"/>
        </w:trPr>
        <w:tc>
          <w:tcPr>
            <w:tcW w:w="269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0330CE" w:rsidRPr="00BD0D85" w:rsidRDefault="000330CE" w:rsidP="000330CE">
            <w:pPr>
              <w:spacing w:line="320" w:lineRule="exact"/>
              <w:jc w:val="center"/>
              <w:rPr>
                <w:rFonts w:ascii="Times New Roman" w:eastAsia="標楷體" w:hAnsi="Times New Roman"/>
                <w:b/>
                <w:color w:val="000000" w:themeColor="text1"/>
                <w:sz w:val="28"/>
                <w:szCs w:val="28"/>
              </w:rPr>
            </w:pPr>
            <w:r w:rsidRPr="00BD0D85">
              <w:rPr>
                <w:color w:val="000000" w:themeColor="text1"/>
              </w:rPr>
              <w:br w:type="page"/>
            </w:r>
            <w:r w:rsidRPr="00BD0D85">
              <w:rPr>
                <w:rFonts w:ascii="Times New Roman" w:eastAsia="標楷體" w:hAnsi="Times New Roman"/>
                <w:b/>
                <w:color w:val="000000" w:themeColor="text1"/>
                <w:sz w:val="28"/>
                <w:szCs w:val="28"/>
              </w:rPr>
              <w:t>檢查事項</w:t>
            </w:r>
          </w:p>
        </w:tc>
        <w:tc>
          <w:tcPr>
            <w:tcW w:w="1135"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rsidR="000330CE" w:rsidRPr="00BD0D85" w:rsidRDefault="000330CE" w:rsidP="000330CE">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結論</w:t>
            </w:r>
          </w:p>
        </w:tc>
        <w:tc>
          <w:tcPr>
            <w:tcW w:w="89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330CE" w:rsidRPr="00BD0D85" w:rsidRDefault="000330CE" w:rsidP="000330CE">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hint="eastAsia"/>
                <w:b/>
                <w:color w:val="000000" w:themeColor="text1"/>
                <w:sz w:val="28"/>
                <w:szCs w:val="28"/>
              </w:rPr>
              <w:t>證</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券</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投</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資</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信</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託</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事</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業</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說</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明</w:t>
            </w:r>
          </w:p>
        </w:tc>
        <w:tc>
          <w:tcPr>
            <w:tcW w:w="194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30CE" w:rsidRPr="00BD0D85" w:rsidRDefault="000330CE" w:rsidP="000330CE">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附件索引</w:t>
            </w:r>
          </w:p>
        </w:tc>
      </w:tr>
      <w:tr w:rsidR="00BD0D85" w:rsidRPr="00BD0D85" w:rsidTr="000330CE">
        <w:trPr>
          <w:trHeight w:val="472"/>
          <w:jc w:val="center"/>
        </w:trPr>
        <w:tc>
          <w:tcPr>
            <w:tcW w:w="269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BC3240" w:rsidRPr="00BD0D85" w:rsidRDefault="00BC3240" w:rsidP="003932A3">
            <w:pPr>
              <w:widowControl/>
              <w:tabs>
                <w:tab w:val="left" w:pos="457"/>
              </w:tabs>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多重資產型基金投資於基金受益憑證可能逾基金淨資產價值之</w:t>
            </w:r>
            <w:r w:rsidRPr="00BD0D85">
              <w:rPr>
                <w:rFonts w:ascii="Times New Roman" w:eastAsia="標楷體" w:hAnsi="Times New Roman" w:hint="eastAsia"/>
                <w:b/>
                <w:color w:val="000000" w:themeColor="text1"/>
                <w:szCs w:val="24"/>
              </w:rPr>
              <w:t>20%</w:t>
            </w:r>
            <w:r w:rsidRPr="00BD0D85">
              <w:rPr>
                <w:rFonts w:ascii="Times New Roman" w:eastAsia="標楷體" w:hAnsi="Times New Roman" w:hint="eastAsia"/>
                <w:b/>
                <w:color w:val="000000" w:themeColor="text1"/>
                <w:szCs w:val="24"/>
              </w:rPr>
              <w:t>者，應說明事項是否明定於信託契約或載明於公開說明書。</w:t>
            </w:r>
          </w:p>
        </w:tc>
        <w:tc>
          <w:tcPr>
            <w:tcW w:w="1135" w:type="dxa"/>
            <w:vMerge w:val="restart"/>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BC3240" w:rsidRPr="00BD0D85" w:rsidRDefault="00BC3240" w:rsidP="009B196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BC3240" w:rsidRPr="00BD0D85" w:rsidRDefault="00BC3240" w:rsidP="009B196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BC3240" w:rsidRPr="00BD0D85" w:rsidRDefault="00BC3240" w:rsidP="009B1964">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C3240" w:rsidRPr="00BD0D85" w:rsidRDefault="00BC3240" w:rsidP="00CC5FDF">
            <w:pPr>
              <w:pStyle w:val="a7"/>
              <w:numPr>
                <w:ilvl w:val="0"/>
                <w:numId w:val="13"/>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請說明是否於證券投資信託契約明定下列事項：</w:t>
            </w:r>
          </w:p>
          <w:p w:rsidR="00BC3240" w:rsidRPr="00BD0D85" w:rsidRDefault="00BC3240" w:rsidP="00CC5FDF">
            <w:pPr>
              <w:pStyle w:val="a7"/>
              <w:numPr>
                <w:ilvl w:val="0"/>
                <w:numId w:val="23"/>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投資於單一基金受益憑證之上限。</w:t>
            </w:r>
          </w:p>
          <w:p w:rsidR="00BC3240" w:rsidRPr="00BD0D85" w:rsidRDefault="00BC3240" w:rsidP="00CC5FDF">
            <w:pPr>
              <w:pStyle w:val="a7"/>
              <w:numPr>
                <w:ilvl w:val="0"/>
                <w:numId w:val="23"/>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除</w:t>
            </w:r>
            <w:r w:rsidRPr="00BD0D85">
              <w:rPr>
                <w:rFonts w:ascii="Times New Roman" w:eastAsia="標楷體" w:hAnsi="Times New Roman" w:hint="eastAsia"/>
                <w:color w:val="000000" w:themeColor="text1"/>
                <w:szCs w:val="24"/>
              </w:rPr>
              <w:t xml:space="preserve"> ETF</w:t>
            </w:r>
            <w:r w:rsidRPr="00BD0D85">
              <w:rPr>
                <w:rFonts w:ascii="Times New Roman" w:eastAsia="標楷體" w:hAnsi="Times New Roman" w:hint="eastAsia"/>
                <w:color w:val="000000" w:themeColor="text1"/>
                <w:szCs w:val="24"/>
              </w:rPr>
              <w:t>外，投資於所屬集團管理之基金受益憑證，集團基金受益憑證之經理費應至少減半計收（即退還</w:t>
            </w:r>
            <w:proofErr w:type="gramStart"/>
            <w:r w:rsidRPr="00BD0D85">
              <w:rPr>
                <w:rFonts w:ascii="Times New Roman" w:eastAsia="標楷體" w:hAnsi="Times New Roman" w:hint="eastAsia"/>
                <w:color w:val="000000" w:themeColor="text1"/>
                <w:szCs w:val="24"/>
              </w:rPr>
              <w:t>5</w:t>
            </w:r>
            <w:r w:rsidRPr="00BD0D85">
              <w:rPr>
                <w:rFonts w:ascii="Times New Roman" w:eastAsia="標楷體" w:hAnsi="Times New Roman" w:hint="eastAsia"/>
                <w:color w:val="000000" w:themeColor="text1"/>
                <w:szCs w:val="24"/>
              </w:rPr>
              <w:t>成</w:t>
            </w:r>
            <w:proofErr w:type="gramEnd"/>
            <w:r w:rsidRPr="00BD0D85">
              <w:rPr>
                <w:rFonts w:ascii="Times New Roman" w:eastAsia="標楷體" w:hAnsi="Times New Roman" w:hint="eastAsia"/>
                <w:color w:val="000000" w:themeColor="text1"/>
                <w:szCs w:val="24"/>
              </w:rPr>
              <w:t>以上）。</w:t>
            </w:r>
          </w:p>
          <w:p w:rsidR="00BC3240" w:rsidRPr="00BD0D85" w:rsidRDefault="00BC3240" w:rsidP="00CC5FDF">
            <w:pPr>
              <w:pStyle w:val="a7"/>
              <w:numPr>
                <w:ilvl w:val="0"/>
                <w:numId w:val="23"/>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投資經理公司本身及集團之基金受益憑證不得收取申購或買回費。</w:t>
            </w:r>
          </w:p>
          <w:p w:rsidR="00BC3240" w:rsidRPr="00BD0D85" w:rsidRDefault="00BC3240" w:rsidP="00CC5FDF">
            <w:pPr>
              <w:pStyle w:val="a7"/>
              <w:numPr>
                <w:ilvl w:val="0"/>
                <w:numId w:val="13"/>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請說明是否於公開說明書載明下列事項：</w:t>
            </w:r>
          </w:p>
          <w:p w:rsidR="00BC3240" w:rsidRPr="00BD0D85" w:rsidRDefault="00BC3240" w:rsidP="00CC5FDF">
            <w:pPr>
              <w:pStyle w:val="a7"/>
              <w:numPr>
                <w:ilvl w:val="0"/>
                <w:numId w:val="24"/>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投資基金受益憑證之投資策略。</w:t>
            </w:r>
          </w:p>
          <w:p w:rsidR="00BC3240" w:rsidRPr="00BD0D85" w:rsidRDefault="00BC3240" w:rsidP="00CC5FDF">
            <w:pPr>
              <w:pStyle w:val="a7"/>
              <w:numPr>
                <w:ilvl w:val="0"/>
                <w:numId w:val="24"/>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公開說明書封面以顯著文字揭露「投資於基金受益憑證部份可能涉有重複收取經理費」之警語。</w:t>
            </w:r>
          </w:p>
        </w:tc>
        <w:tc>
          <w:tcPr>
            <w:tcW w:w="194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C3240" w:rsidRPr="00BD0D85" w:rsidRDefault="00BC3240">
            <w:pPr>
              <w:spacing w:line="320" w:lineRule="exact"/>
              <w:jc w:val="both"/>
              <w:rPr>
                <w:rFonts w:ascii="Times New Roman" w:eastAsia="標楷體" w:hAnsi="Times New Roman"/>
                <w:color w:val="000000" w:themeColor="text1"/>
                <w:szCs w:val="24"/>
                <w:shd w:val="clear" w:color="auto" w:fill="FFFFFF"/>
              </w:rPr>
            </w:pPr>
          </w:p>
        </w:tc>
      </w:tr>
      <w:tr w:rsidR="00BD0D85" w:rsidRPr="00BD0D85" w:rsidTr="00BB7F0F">
        <w:trPr>
          <w:trHeight w:val="454"/>
          <w:jc w:val="center"/>
        </w:trPr>
        <w:tc>
          <w:tcPr>
            <w:tcW w:w="2694" w:type="dxa"/>
            <w:vMerge/>
            <w:tcBorders>
              <w:left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pPr>
              <w:widowControl/>
              <w:spacing w:line="320" w:lineRule="exact"/>
              <w:jc w:val="both"/>
              <w:rPr>
                <w:rFonts w:ascii="Times New Roman" w:eastAsia="標楷體" w:hAnsi="Times New Roman"/>
                <w:b/>
                <w:color w:val="000000" w:themeColor="text1"/>
                <w:szCs w:val="24"/>
              </w:rPr>
            </w:pPr>
          </w:p>
        </w:tc>
        <w:tc>
          <w:tcPr>
            <w:tcW w:w="1135"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color w:val="000000" w:themeColor="text1"/>
                <w:szCs w:val="24"/>
              </w:rPr>
              <w:t>補充說明事項：</w:t>
            </w:r>
          </w:p>
        </w:tc>
      </w:tr>
      <w:tr w:rsidR="00BC3240" w:rsidRPr="00BD0D85" w:rsidTr="00BB7F0F">
        <w:trPr>
          <w:trHeight w:val="454"/>
          <w:jc w:val="center"/>
        </w:trPr>
        <w:tc>
          <w:tcPr>
            <w:tcW w:w="269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3240" w:rsidRPr="00BD0D85" w:rsidRDefault="00BC3240" w:rsidP="00BC3240">
            <w:pPr>
              <w:widowControl/>
              <w:tabs>
                <w:tab w:val="left" w:pos="745"/>
              </w:tabs>
              <w:spacing w:line="320" w:lineRule="exact"/>
              <w:ind w:left="-103"/>
              <w:jc w:val="both"/>
              <w:rPr>
                <w:rFonts w:ascii="Times New Roman" w:eastAsia="標楷體" w:hAnsi="Times New Roman"/>
                <w:b/>
                <w:color w:val="000000" w:themeColor="text1"/>
                <w:szCs w:val="24"/>
              </w:rPr>
            </w:pPr>
          </w:p>
        </w:tc>
        <w:tc>
          <w:tcPr>
            <w:tcW w:w="1135"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C3240" w:rsidRPr="00BD0D85" w:rsidRDefault="00BC3240">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240" w:rsidRPr="00BD0D85" w:rsidRDefault="00BC3240" w:rsidP="00BB7F0F">
            <w:pPr>
              <w:widowControl/>
              <w:spacing w:line="320" w:lineRule="exact"/>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bl>
    <w:p w:rsidR="00A708E2" w:rsidRPr="00BD0D85" w:rsidRDefault="00A708E2" w:rsidP="00A708E2">
      <w:pPr>
        <w:rPr>
          <w:rFonts w:ascii="Times New Roman" w:eastAsia="標楷體" w:hAnsi="Times New Roman"/>
          <w:b/>
          <w:color w:val="000000" w:themeColor="text1"/>
          <w:sz w:val="28"/>
          <w:szCs w:val="28"/>
        </w:rPr>
      </w:pPr>
    </w:p>
    <w:p w:rsidR="00A708E2" w:rsidRPr="00BD0D85" w:rsidRDefault="00A708E2">
      <w:pPr>
        <w:widowControl/>
        <w:suppressAutoHyphens w:val="0"/>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br w:type="page"/>
      </w:r>
    </w:p>
    <w:p w:rsidR="00A708E2" w:rsidRPr="00BD0D85" w:rsidRDefault="00A708E2" w:rsidP="006E23A3">
      <w:pPr>
        <w:pStyle w:val="1"/>
        <w:spacing w:before="0" w:after="0" w:line="240" w:lineRule="auto"/>
        <w:rPr>
          <w:rFonts w:ascii="標楷體" w:eastAsia="標楷體" w:hAnsi="標楷體"/>
          <w:color w:val="000000" w:themeColor="text1"/>
          <w:sz w:val="28"/>
          <w:szCs w:val="28"/>
        </w:rPr>
      </w:pPr>
      <w:bookmarkStart w:id="8" w:name="_柒、組合型基金應說明事項"/>
      <w:bookmarkEnd w:id="8"/>
      <w:proofErr w:type="gramStart"/>
      <w:r w:rsidRPr="00BD0D85">
        <w:rPr>
          <w:rFonts w:ascii="標楷體" w:eastAsia="標楷體" w:hAnsi="標楷體" w:hint="eastAsia"/>
          <w:color w:val="000000" w:themeColor="text1"/>
          <w:sz w:val="28"/>
          <w:szCs w:val="28"/>
        </w:rPr>
        <w:lastRenderedPageBreak/>
        <w:t>柒</w:t>
      </w:r>
      <w:proofErr w:type="gramEnd"/>
      <w:r w:rsidRPr="00BD0D85">
        <w:rPr>
          <w:rFonts w:ascii="標楷體" w:eastAsia="標楷體" w:hAnsi="標楷體" w:hint="eastAsia"/>
          <w:color w:val="000000" w:themeColor="text1"/>
          <w:sz w:val="28"/>
          <w:szCs w:val="28"/>
        </w:rPr>
        <w:t>、組合型</w:t>
      </w:r>
      <w:r w:rsidRPr="00BD0D85">
        <w:rPr>
          <w:rFonts w:ascii="標楷體" w:eastAsia="標楷體" w:hAnsi="標楷體"/>
          <w:color w:val="000000" w:themeColor="text1"/>
          <w:sz w:val="28"/>
          <w:szCs w:val="28"/>
        </w:rPr>
        <w:t>基金</w:t>
      </w:r>
      <w:r w:rsidRPr="00BD0D85">
        <w:rPr>
          <w:rFonts w:ascii="標楷體" w:eastAsia="標楷體" w:hAnsi="標楷體" w:hint="eastAsia"/>
          <w:color w:val="000000" w:themeColor="text1"/>
          <w:sz w:val="28"/>
          <w:szCs w:val="28"/>
        </w:rPr>
        <w:t>應說明事項</w:t>
      </w:r>
    </w:p>
    <w:tbl>
      <w:tblPr>
        <w:tblW w:w="5270" w:type="pct"/>
        <w:jc w:val="center"/>
        <w:tblCellMar>
          <w:left w:w="10" w:type="dxa"/>
          <w:right w:w="10" w:type="dxa"/>
        </w:tblCellMar>
        <w:tblLook w:val="04A0" w:firstRow="1" w:lastRow="0" w:firstColumn="1" w:lastColumn="0" w:noHBand="0" w:noVBand="1"/>
      </w:tblPr>
      <w:tblGrid>
        <w:gridCol w:w="2694"/>
        <w:gridCol w:w="1135"/>
        <w:gridCol w:w="8926"/>
        <w:gridCol w:w="1946"/>
      </w:tblGrid>
      <w:tr w:rsidR="00BD0D85" w:rsidRPr="00BD0D85" w:rsidTr="003932A3">
        <w:trPr>
          <w:trHeight w:val="567"/>
          <w:tblHeader/>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932A3" w:rsidRPr="00BD0D85" w:rsidRDefault="003932A3" w:rsidP="003932A3">
            <w:pPr>
              <w:spacing w:line="320" w:lineRule="exact"/>
              <w:jc w:val="center"/>
              <w:rPr>
                <w:rFonts w:ascii="Times New Roman" w:eastAsia="標楷體" w:hAnsi="Times New Roman"/>
                <w:b/>
                <w:color w:val="000000" w:themeColor="text1"/>
                <w:sz w:val="28"/>
                <w:szCs w:val="28"/>
              </w:rPr>
            </w:pPr>
            <w:r w:rsidRPr="00BD0D85">
              <w:rPr>
                <w:color w:val="000000" w:themeColor="text1"/>
              </w:rPr>
              <w:br w:type="page"/>
            </w:r>
            <w:r w:rsidRPr="00BD0D85">
              <w:rPr>
                <w:rFonts w:ascii="Times New Roman" w:eastAsia="標楷體" w:hAnsi="Times New Roman"/>
                <w:b/>
                <w:color w:val="000000" w:themeColor="text1"/>
                <w:sz w:val="28"/>
                <w:szCs w:val="28"/>
              </w:rPr>
              <w:t>檢查事項</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932A3" w:rsidRPr="00BD0D85" w:rsidRDefault="003932A3" w:rsidP="003932A3">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結論</w:t>
            </w:r>
          </w:p>
        </w:tc>
        <w:tc>
          <w:tcPr>
            <w:tcW w:w="8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932A3" w:rsidRPr="00BD0D85" w:rsidRDefault="003932A3" w:rsidP="003932A3">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hint="eastAsia"/>
                <w:b/>
                <w:color w:val="000000" w:themeColor="text1"/>
                <w:sz w:val="28"/>
                <w:szCs w:val="28"/>
              </w:rPr>
              <w:t>證</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券</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投</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資</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信</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託</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事</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業</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說</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明</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3932A3" w:rsidRPr="00BD0D85" w:rsidRDefault="003932A3" w:rsidP="003932A3">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附件索引</w:t>
            </w:r>
          </w:p>
        </w:tc>
      </w:tr>
      <w:tr w:rsidR="00BD0D85" w:rsidRPr="00BD0D85" w:rsidTr="003932A3">
        <w:trPr>
          <w:trHeight w:val="974"/>
          <w:jc w:val="center"/>
        </w:trPr>
        <w:tc>
          <w:tcPr>
            <w:tcW w:w="269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2A6A7F" w:rsidRPr="00BD0D85" w:rsidRDefault="002A6A7F" w:rsidP="003932A3">
            <w:pPr>
              <w:widowControl/>
              <w:tabs>
                <w:tab w:val="left" w:pos="457"/>
              </w:tabs>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組合型基金之應說明事項是否完整</w:t>
            </w:r>
            <w:r w:rsidR="000B1912" w:rsidRPr="00BD0D85">
              <w:rPr>
                <w:rFonts w:ascii="Times New Roman" w:eastAsia="標楷體" w:hAnsi="Times New Roman" w:hint="eastAsia"/>
                <w:b/>
                <w:color w:val="000000" w:themeColor="text1"/>
                <w:szCs w:val="24"/>
              </w:rPr>
              <w:t>。</w:t>
            </w:r>
          </w:p>
        </w:tc>
        <w:tc>
          <w:tcPr>
            <w:tcW w:w="1135"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rsidR="002A6A7F" w:rsidRPr="00BD0D85" w:rsidRDefault="002A6A7F" w:rsidP="002A6A7F">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2A6A7F" w:rsidRPr="00BD0D85" w:rsidRDefault="002A6A7F" w:rsidP="002A6A7F">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2A6A7F" w:rsidRPr="00BD0D85" w:rsidRDefault="002A6A7F" w:rsidP="002A6A7F">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A3A" w:rsidRPr="00BD0D85" w:rsidRDefault="00C86A3A" w:rsidP="0086617A">
            <w:pPr>
              <w:pStyle w:val="a7"/>
              <w:widowControl/>
              <w:numPr>
                <w:ilvl w:val="0"/>
                <w:numId w:val="14"/>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請說明是否於證券投資信託契約明定下列事項：</w:t>
            </w:r>
          </w:p>
          <w:p w:rsidR="00C86A3A" w:rsidRPr="00BD0D85" w:rsidRDefault="00C86A3A" w:rsidP="00C86A3A">
            <w:pPr>
              <w:pStyle w:val="a7"/>
              <w:numPr>
                <w:ilvl w:val="0"/>
                <w:numId w:val="30"/>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投資集團子基金達</w:t>
            </w:r>
            <w:proofErr w:type="gramStart"/>
            <w:r w:rsidRPr="00BD0D85">
              <w:rPr>
                <w:rFonts w:ascii="Times New Roman" w:eastAsia="標楷體" w:hAnsi="Times New Roman" w:hint="eastAsia"/>
                <w:color w:val="000000" w:themeColor="text1"/>
                <w:szCs w:val="24"/>
              </w:rPr>
              <w:t>7</w:t>
            </w:r>
            <w:r w:rsidRPr="00BD0D85">
              <w:rPr>
                <w:rFonts w:ascii="Times New Roman" w:eastAsia="標楷體" w:hAnsi="Times New Roman" w:hint="eastAsia"/>
                <w:color w:val="000000" w:themeColor="text1"/>
                <w:szCs w:val="24"/>
              </w:rPr>
              <w:t>成</w:t>
            </w:r>
            <w:proofErr w:type="gramEnd"/>
            <w:r w:rsidRPr="00BD0D85">
              <w:rPr>
                <w:rFonts w:ascii="Times New Roman" w:eastAsia="標楷體" w:hAnsi="Times New Roman" w:hint="eastAsia"/>
                <w:color w:val="000000" w:themeColor="text1"/>
                <w:szCs w:val="24"/>
              </w:rPr>
              <w:t>以上者，子基金不得收取經理費</w:t>
            </w:r>
            <w:r w:rsidRPr="00BD0D85">
              <w:rPr>
                <w:rFonts w:ascii="Times New Roman" w:eastAsia="標楷體" w:hAnsi="Times New Roman" w:hint="eastAsia"/>
                <w:color w:val="000000" w:themeColor="text1"/>
                <w:szCs w:val="24"/>
              </w:rPr>
              <w:t>(ETF</w:t>
            </w:r>
            <w:r w:rsidRPr="00BD0D85">
              <w:rPr>
                <w:rFonts w:ascii="Times New Roman" w:eastAsia="標楷體" w:hAnsi="Times New Roman" w:hint="eastAsia"/>
                <w:color w:val="000000" w:themeColor="text1"/>
                <w:szCs w:val="24"/>
              </w:rPr>
              <w:t>除外</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w:t>
            </w:r>
          </w:p>
          <w:p w:rsidR="00C86A3A" w:rsidRPr="00BD0D85" w:rsidRDefault="00C86A3A" w:rsidP="00C86A3A">
            <w:pPr>
              <w:pStyle w:val="a7"/>
              <w:numPr>
                <w:ilvl w:val="0"/>
                <w:numId w:val="30"/>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不以投資集團子基金為訴求之基金，如投資集團子基金，除</w:t>
            </w:r>
            <w:r w:rsidRPr="00BD0D85">
              <w:rPr>
                <w:rFonts w:ascii="Times New Roman" w:eastAsia="標楷體" w:hAnsi="Times New Roman" w:hint="eastAsia"/>
                <w:color w:val="000000" w:themeColor="text1"/>
                <w:szCs w:val="24"/>
              </w:rPr>
              <w:t xml:space="preserve"> ETF</w:t>
            </w:r>
            <w:r w:rsidRPr="00BD0D85">
              <w:rPr>
                <w:rFonts w:ascii="Times New Roman" w:eastAsia="標楷體" w:hAnsi="Times New Roman" w:hint="eastAsia"/>
                <w:color w:val="000000" w:themeColor="text1"/>
                <w:szCs w:val="24"/>
              </w:rPr>
              <w:t>外，集團子基金之經理費應至少減半計收</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即退還</w:t>
            </w:r>
            <w:proofErr w:type="gramStart"/>
            <w:r w:rsidRPr="00BD0D85">
              <w:rPr>
                <w:rFonts w:ascii="Times New Roman" w:eastAsia="標楷體" w:hAnsi="Times New Roman" w:hint="eastAsia"/>
                <w:color w:val="000000" w:themeColor="text1"/>
                <w:szCs w:val="24"/>
              </w:rPr>
              <w:t>5</w:t>
            </w:r>
            <w:r w:rsidRPr="00BD0D85">
              <w:rPr>
                <w:rFonts w:ascii="Times New Roman" w:eastAsia="標楷體" w:hAnsi="Times New Roman" w:hint="eastAsia"/>
                <w:color w:val="000000" w:themeColor="text1"/>
                <w:szCs w:val="24"/>
              </w:rPr>
              <w:t>成</w:t>
            </w:r>
            <w:proofErr w:type="gramEnd"/>
            <w:r w:rsidRPr="00BD0D85">
              <w:rPr>
                <w:rFonts w:ascii="Times New Roman" w:eastAsia="標楷體" w:hAnsi="Times New Roman" w:hint="eastAsia"/>
                <w:color w:val="000000" w:themeColor="text1"/>
                <w:szCs w:val="24"/>
              </w:rPr>
              <w:t>以上</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，且經理公司應出具聲明投資集團子基金不超過</w:t>
            </w:r>
            <w:proofErr w:type="gramStart"/>
            <w:r w:rsidRPr="00BD0D85">
              <w:rPr>
                <w:rFonts w:ascii="Times New Roman" w:eastAsia="標楷體" w:hAnsi="Times New Roman" w:hint="eastAsia"/>
                <w:color w:val="000000" w:themeColor="text1"/>
                <w:szCs w:val="24"/>
              </w:rPr>
              <w:t>7</w:t>
            </w:r>
            <w:r w:rsidRPr="00BD0D85">
              <w:rPr>
                <w:rFonts w:ascii="Times New Roman" w:eastAsia="標楷體" w:hAnsi="Times New Roman" w:hint="eastAsia"/>
                <w:color w:val="000000" w:themeColor="text1"/>
                <w:szCs w:val="24"/>
              </w:rPr>
              <w:t>成</w:t>
            </w:r>
            <w:proofErr w:type="gramEnd"/>
            <w:r w:rsidRPr="00BD0D85">
              <w:rPr>
                <w:rFonts w:ascii="Times New Roman" w:eastAsia="標楷體" w:hAnsi="Times New Roman" w:hint="eastAsia"/>
                <w:color w:val="000000" w:themeColor="text1"/>
                <w:szCs w:val="24"/>
              </w:rPr>
              <w:t>。</w:t>
            </w:r>
          </w:p>
          <w:p w:rsidR="00C86A3A" w:rsidRPr="00BD0D85" w:rsidRDefault="00C86A3A" w:rsidP="00C86A3A">
            <w:pPr>
              <w:pStyle w:val="a7"/>
              <w:numPr>
                <w:ilvl w:val="0"/>
                <w:numId w:val="30"/>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投資經理公司本身及集團之基金受益憑證不得收取申購或買回費。</w:t>
            </w:r>
          </w:p>
          <w:p w:rsidR="00C86A3A" w:rsidRPr="00BD0D85" w:rsidRDefault="00C86A3A" w:rsidP="00CE7903">
            <w:pPr>
              <w:pStyle w:val="a7"/>
              <w:widowControl/>
              <w:numPr>
                <w:ilvl w:val="0"/>
                <w:numId w:val="14"/>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是否於公開說明書封面以顯著文字揭露「投資於基金受益憑證部份可能涉有重複收取經理費」之警語。</w:t>
            </w:r>
          </w:p>
          <w:p w:rsidR="00CE7903" w:rsidRPr="00BD0D85" w:rsidRDefault="00961942" w:rsidP="00961942">
            <w:pPr>
              <w:pStyle w:val="a7"/>
              <w:numPr>
                <w:ilvl w:val="0"/>
                <w:numId w:val="13"/>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若有為增加投資效率從事證券相關商品交易，</w:t>
            </w:r>
            <w:r w:rsidR="009F4394" w:rsidRPr="00BD0D85">
              <w:rPr>
                <w:rFonts w:ascii="Times New Roman" w:eastAsia="標楷體" w:hAnsi="Times New Roman" w:hint="eastAsia"/>
                <w:color w:val="000000" w:themeColor="text1"/>
                <w:szCs w:val="24"/>
              </w:rPr>
              <w:t>請說明</w:t>
            </w:r>
            <w:r w:rsidRPr="00BD0D85">
              <w:rPr>
                <w:rFonts w:ascii="Times New Roman" w:eastAsia="標楷體" w:hAnsi="Times New Roman" w:hint="eastAsia"/>
                <w:color w:val="000000" w:themeColor="text1"/>
                <w:szCs w:val="24"/>
              </w:rPr>
              <w:t>是否符合下列規定：</w:t>
            </w:r>
          </w:p>
          <w:p w:rsidR="00961942" w:rsidRPr="00BD0D85" w:rsidRDefault="00961942" w:rsidP="00961942">
            <w:pPr>
              <w:pStyle w:val="a7"/>
              <w:numPr>
                <w:ilvl w:val="0"/>
                <w:numId w:val="31"/>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以公債期貨、利率交換及衍生自指數之證券相關商品為限。</w:t>
            </w:r>
          </w:p>
          <w:p w:rsidR="00961942" w:rsidRPr="00BD0D85" w:rsidRDefault="00961942" w:rsidP="00961942">
            <w:pPr>
              <w:pStyle w:val="a7"/>
              <w:numPr>
                <w:ilvl w:val="0"/>
                <w:numId w:val="31"/>
              </w:numPr>
              <w:spacing w:line="320" w:lineRule="exact"/>
              <w:ind w:left="875" w:rightChars="15" w:right="36"/>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所運用之標的，應依組合型基金之投資策略、資產配置狀況，交易與其基金資產類別相關之證券相關商品。</w:t>
            </w:r>
          </w:p>
        </w:tc>
        <w:tc>
          <w:tcPr>
            <w:tcW w:w="1946" w:type="dxa"/>
            <w:tcBorders>
              <w:top w:val="single" w:sz="4" w:space="0" w:color="auto"/>
              <w:left w:val="single" w:sz="4" w:space="0" w:color="000000"/>
              <w:bottom w:val="single" w:sz="4" w:space="0" w:color="000000"/>
              <w:right w:val="single" w:sz="4" w:space="0" w:color="000000"/>
            </w:tcBorders>
            <w:shd w:val="clear" w:color="auto" w:fill="auto"/>
          </w:tcPr>
          <w:p w:rsidR="002A6A7F" w:rsidRPr="00BD0D85" w:rsidRDefault="002A6A7F" w:rsidP="002466C4">
            <w:pPr>
              <w:widowControl/>
              <w:spacing w:line="320" w:lineRule="exact"/>
              <w:rPr>
                <w:rFonts w:ascii="Times New Roman" w:eastAsia="標楷體" w:hAnsi="Times New Roman"/>
                <w:color w:val="000000" w:themeColor="text1"/>
                <w:szCs w:val="24"/>
                <w:highlight w:val="yellow"/>
              </w:rPr>
            </w:pPr>
          </w:p>
        </w:tc>
      </w:tr>
      <w:tr w:rsidR="00BD0D85" w:rsidRPr="00BD0D85" w:rsidTr="00BB7F0F">
        <w:trPr>
          <w:trHeight w:val="454"/>
          <w:jc w:val="center"/>
        </w:trPr>
        <w:tc>
          <w:tcPr>
            <w:tcW w:w="2694" w:type="dxa"/>
            <w:vMerge/>
            <w:tcBorders>
              <w:left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rsidP="002A6A7F">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rPr>
            </w:pPr>
          </w:p>
        </w:tc>
        <w:tc>
          <w:tcPr>
            <w:tcW w:w="1135" w:type="dxa"/>
            <w:vMerge/>
            <w:tcBorders>
              <w:left w:val="single" w:sz="4" w:space="0" w:color="auto"/>
              <w:right w:val="single" w:sz="4" w:space="0" w:color="000000"/>
            </w:tcBorders>
            <w:shd w:val="clear" w:color="auto" w:fill="auto"/>
            <w:tcMar>
              <w:top w:w="0" w:type="dxa"/>
              <w:left w:w="108" w:type="dxa"/>
              <w:bottom w:w="0" w:type="dxa"/>
              <w:right w:w="108" w:type="dxa"/>
            </w:tcMar>
          </w:tcPr>
          <w:p w:rsidR="00F2152D" w:rsidRPr="00BD0D85" w:rsidRDefault="00F2152D" w:rsidP="002A6A7F">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BB7F0F">
            <w:pPr>
              <w:spacing w:line="320" w:lineRule="exact"/>
              <w:ind w:left="480" w:hanging="480"/>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color w:val="000000" w:themeColor="text1"/>
                <w:szCs w:val="24"/>
              </w:rPr>
              <w:t>補充說明事項：</w:t>
            </w:r>
          </w:p>
        </w:tc>
      </w:tr>
      <w:tr w:rsidR="00B043A0" w:rsidRPr="00BD0D85" w:rsidTr="00BB7F0F">
        <w:trPr>
          <w:trHeight w:val="454"/>
          <w:jc w:val="center"/>
        </w:trPr>
        <w:tc>
          <w:tcPr>
            <w:tcW w:w="269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3A0" w:rsidRPr="00BD0D85" w:rsidRDefault="00B043A0" w:rsidP="002A6A7F">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rPr>
            </w:pPr>
          </w:p>
        </w:tc>
        <w:tc>
          <w:tcPr>
            <w:tcW w:w="1135"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2A6A7F">
            <w:pPr>
              <w:widowControl/>
              <w:spacing w:line="320" w:lineRule="exact"/>
              <w:rPr>
                <w:rFonts w:ascii="Times New Roman" w:eastAsia="標楷體" w:hAnsi="Times New Roman"/>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BB7F0F">
            <w:pPr>
              <w:widowControl/>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bl>
    <w:p w:rsidR="00A708E2" w:rsidRPr="00BD0D85" w:rsidRDefault="00A708E2" w:rsidP="00A708E2">
      <w:pPr>
        <w:rPr>
          <w:rFonts w:ascii="Times New Roman" w:eastAsia="標楷體" w:hAnsi="Times New Roman"/>
          <w:b/>
          <w:color w:val="000000" w:themeColor="text1"/>
          <w:sz w:val="28"/>
          <w:szCs w:val="28"/>
        </w:rPr>
      </w:pPr>
    </w:p>
    <w:p w:rsidR="00A708E2" w:rsidRPr="00BD0D85" w:rsidRDefault="00A708E2">
      <w:pPr>
        <w:widowControl/>
        <w:suppressAutoHyphens w:val="0"/>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br w:type="page"/>
      </w:r>
    </w:p>
    <w:p w:rsidR="00A708E2" w:rsidRPr="00BD0D85" w:rsidRDefault="00A708E2" w:rsidP="006E23A3">
      <w:pPr>
        <w:pStyle w:val="1"/>
        <w:spacing w:before="0" w:after="0" w:line="240" w:lineRule="auto"/>
        <w:rPr>
          <w:rFonts w:ascii="標楷體" w:eastAsia="標楷體" w:hAnsi="標楷體"/>
          <w:color w:val="000000" w:themeColor="text1"/>
          <w:sz w:val="28"/>
          <w:szCs w:val="28"/>
        </w:rPr>
      </w:pPr>
      <w:bookmarkStart w:id="9" w:name="_捌、指數型基金應說明事項"/>
      <w:bookmarkEnd w:id="9"/>
      <w:r w:rsidRPr="00BD0D85">
        <w:rPr>
          <w:rFonts w:ascii="標楷體" w:eastAsia="標楷體" w:hAnsi="標楷體" w:hint="eastAsia"/>
          <w:color w:val="000000" w:themeColor="text1"/>
          <w:sz w:val="28"/>
          <w:szCs w:val="28"/>
        </w:rPr>
        <w:lastRenderedPageBreak/>
        <w:t>捌、指數型</w:t>
      </w:r>
      <w:r w:rsidRPr="00BD0D85">
        <w:rPr>
          <w:rFonts w:ascii="標楷體" w:eastAsia="標楷體" w:hAnsi="標楷體"/>
          <w:color w:val="000000" w:themeColor="text1"/>
          <w:sz w:val="28"/>
          <w:szCs w:val="28"/>
        </w:rPr>
        <w:t>基金</w:t>
      </w:r>
      <w:r w:rsidRPr="00BD0D85">
        <w:rPr>
          <w:rFonts w:ascii="標楷體" w:eastAsia="標楷體" w:hAnsi="標楷體" w:hint="eastAsia"/>
          <w:color w:val="000000" w:themeColor="text1"/>
          <w:sz w:val="28"/>
          <w:szCs w:val="28"/>
        </w:rPr>
        <w:t>應說明事項</w:t>
      </w:r>
    </w:p>
    <w:tbl>
      <w:tblPr>
        <w:tblW w:w="5270" w:type="pct"/>
        <w:jc w:val="center"/>
        <w:tblCellMar>
          <w:left w:w="10" w:type="dxa"/>
          <w:right w:w="10" w:type="dxa"/>
        </w:tblCellMar>
        <w:tblLook w:val="04A0" w:firstRow="1" w:lastRow="0" w:firstColumn="1" w:lastColumn="0" w:noHBand="0" w:noVBand="1"/>
      </w:tblPr>
      <w:tblGrid>
        <w:gridCol w:w="2694"/>
        <w:gridCol w:w="1135"/>
        <w:gridCol w:w="8926"/>
        <w:gridCol w:w="23"/>
        <w:gridCol w:w="1923"/>
      </w:tblGrid>
      <w:tr w:rsidR="00BD0D85" w:rsidRPr="00BD0D85" w:rsidTr="00A708E2">
        <w:trPr>
          <w:trHeight w:val="567"/>
          <w:tblHeader/>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708E2" w:rsidRPr="00BD0D85" w:rsidRDefault="00A708E2" w:rsidP="00A708E2">
            <w:pPr>
              <w:spacing w:line="320" w:lineRule="exact"/>
              <w:jc w:val="center"/>
              <w:rPr>
                <w:rFonts w:ascii="Times New Roman" w:eastAsia="標楷體" w:hAnsi="Times New Roman"/>
                <w:b/>
                <w:color w:val="000000" w:themeColor="text1"/>
                <w:sz w:val="28"/>
                <w:szCs w:val="28"/>
              </w:rPr>
            </w:pPr>
            <w:r w:rsidRPr="00BD0D85">
              <w:rPr>
                <w:color w:val="000000" w:themeColor="text1"/>
              </w:rPr>
              <w:br w:type="page"/>
            </w:r>
            <w:r w:rsidRPr="00BD0D85">
              <w:rPr>
                <w:rFonts w:ascii="Times New Roman" w:eastAsia="標楷體" w:hAnsi="Times New Roman"/>
                <w:b/>
                <w:color w:val="000000" w:themeColor="text1"/>
                <w:sz w:val="28"/>
                <w:szCs w:val="28"/>
              </w:rPr>
              <w:t>檢查事項</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708E2" w:rsidRPr="00BD0D85" w:rsidRDefault="00A708E2" w:rsidP="00A708E2">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結論</w:t>
            </w:r>
          </w:p>
        </w:tc>
        <w:tc>
          <w:tcPr>
            <w:tcW w:w="8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708E2" w:rsidRPr="00BD0D85" w:rsidRDefault="00A708E2" w:rsidP="00A708E2">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hint="eastAsia"/>
                <w:b/>
                <w:color w:val="000000" w:themeColor="text1"/>
                <w:sz w:val="28"/>
                <w:szCs w:val="28"/>
              </w:rPr>
              <w:t>證</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券</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投</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資</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信</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託</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事</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業</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說</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明</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8E2" w:rsidRPr="00BD0D85" w:rsidRDefault="00A708E2" w:rsidP="00A708E2">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附件索引</w:t>
            </w:r>
          </w:p>
        </w:tc>
      </w:tr>
      <w:tr w:rsidR="00BD0D85" w:rsidRPr="00BD0D85" w:rsidTr="00BB7F0F">
        <w:trPr>
          <w:trHeight w:val="534"/>
          <w:jc w:val="center"/>
        </w:trPr>
        <w:tc>
          <w:tcPr>
            <w:tcW w:w="269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6E24F9" w:rsidRPr="00BD0D85" w:rsidRDefault="006E24F9" w:rsidP="00A708E2">
            <w:pPr>
              <w:widowControl/>
              <w:tabs>
                <w:tab w:val="left" w:pos="457"/>
              </w:tabs>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指數型基金之應說明事項是否完整。</w:t>
            </w:r>
          </w:p>
          <w:p w:rsidR="006E24F9" w:rsidRPr="00BD0D85" w:rsidRDefault="00A708E2" w:rsidP="00992F35">
            <w:pPr>
              <w:widowControl/>
              <w:spacing w:line="320" w:lineRule="exact"/>
              <w:ind w:leftChars="-3" w:left="497" w:hangingChars="210" w:hanging="504"/>
              <w:jc w:val="both"/>
              <w:rPr>
                <w:rFonts w:ascii="Times New Roman" w:eastAsia="標楷體" w:hAnsi="Times New Roman"/>
                <w:b/>
                <w:color w:val="000000" w:themeColor="text1"/>
                <w:szCs w:val="24"/>
              </w:rPr>
            </w:pPr>
            <w:r w:rsidRPr="00BD0D85">
              <w:rPr>
                <w:rFonts w:ascii="Times New Roman" w:eastAsia="標楷體" w:hAnsi="Times New Roman" w:hint="eastAsia"/>
                <w:color w:val="000000" w:themeColor="text1"/>
                <w:szCs w:val="24"/>
              </w:rPr>
              <w:t>一、</w:t>
            </w:r>
            <w:r w:rsidR="006E24F9" w:rsidRPr="00BD0D85">
              <w:rPr>
                <w:rFonts w:ascii="Times New Roman" w:eastAsia="標楷體" w:hAnsi="Times New Roman"/>
                <w:color w:val="000000" w:themeColor="text1"/>
                <w:szCs w:val="24"/>
              </w:rPr>
              <w:t>是否具體說明指數編製方式及經理公司複製指數表現之操作方式。</w:t>
            </w:r>
          </w:p>
        </w:tc>
        <w:tc>
          <w:tcPr>
            <w:tcW w:w="1135"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rsidR="006E24F9" w:rsidRPr="00BD0D85" w:rsidRDefault="006E24F9" w:rsidP="006E24F9">
            <w:pPr>
              <w:widowControl/>
              <w:spacing w:line="320" w:lineRule="exact"/>
              <w:rPr>
                <w:rFonts w:ascii="標楷體" w:eastAsia="標楷體" w:hAnsi="標楷體"/>
                <w:color w:val="000000" w:themeColor="text1"/>
                <w:szCs w:val="24"/>
              </w:rPr>
            </w:pPr>
          </w:p>
          <w:p w:rsidR="006E24F9" w:rsidRPr="00BD0D85" w:rsidRDefault="006E24F9" w:rsidP="006E24F9">
            <w:pPr>
              <w:widowControl/>
              <w:spacing w:line="320" w:lineRule="exact"/>
              <w:rPr>
                <w:rFonts w:ascii="標楷體" w:eastAsia="標楷體" w:hAnsi="標楷體"/>
                <w:color w:val="000000" w:themeColor="text1"/>
                <w:szCs w:val="24"/>
              </w:rPr>
            </w:pPr>
          </w:p>
          <w:p w:rsidR="006E24F9" w:rsidRPr="00BD0D85" w:rsidRDefault="006E24F9" w:rsidP="006E24F9">
            <w:pPr>
              <w:widowControl/>
              <w:spacing w:line="320" w:lineRule="exact"/>
              <w:rPr>
                <w:rFonts w:ascii="標楷體" w:eastAsia="標楷體" w:hAnsi="標楷體"/>
                <w:color w:val="000000" w:themeColor="text1"/>
                <w:szCs w:val="24"/>
              </w:rPr>
            </w:pPr>
          </w:p>
          <w:p w:rsidR="006E24F9" w:rsidRPr="00BD0D85" w:rsidRDefault="006E24F9" w:rsidP="006E24F9">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6E24F9" w:rsidRPr="00BD0D85" w:rsidRDefault="006E24F9" w:rsidP="006E24F9">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6E24F9" w:rsidRPr="00BD0D85" w:rsidRDefault="006E24F9" w:rsidP="006E24F9">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4F9" w:rsidRPr="00BD0D85" w:rsidRDefault="006F6B2D" w:rsidP="006E24F9">
            <w:pPr>
              <w:spacing w:line="320" w:lineRule="exact"/>
              <w:ind w:left="480" w:hanging="480"/>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一、指數</w:t>
            </w:r>
            <w:r w:rsidR="005D7D64" w:rsidRPr="00BD0D85">
              <w:rPr>
                <w:rFonts w:ascii="Times New Roman" w:eastAsia="標楷體" w:hAnsi="Times New Roman" w:hint="eastAsia"/>
                <w:color w:val="000000" w:themeColor="text1"/>
                <w:szCs w:val="24"/>
              </w:rPr>
              <w:t>基本資料</w:t>
            </w:r>
            <w:r w:rsidR="006E24F9" w:rsidRPr="00BD0D85">
              <w:rPr>
                <w:rFonts w:ascii="Times New Roman" w:eastAsia="標楷體" w:hAnsi="Times New Roman"/>
                <w:color w:val="000000" w:themeColor="text1"/>
                <w:szCs w:val="24"/>
              </w:rPr>
              <w:t>。</w:t>
            </w:r>
          </w:p>
          <w:p w:rsidR="006E24F9" w:rsidRPr="00BD0D85" w:rsidRDefault="006E24F9" w:rsidP="00CC5FDF">
            <w:pPr>
              <w:pStyle w:val="a7"/>
              <w:numPr>
                <w:ilvl w:val="1"/>
                <w:numId w:val="16"/>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指數名稱：</w:t>
            </w:r>
            <w:r w:rsidRPr="00BD0D85">
              <w:rPr>
                <w:rFonts w:ascii="Times New Roman" w:eastAsia="標楷體" w:hAnsi="Times New Roman"/>
                <w:color w:val="000000" w:themeColor="text1"/>
                <w:szCs w:val="24"/>
              </w:rPr>
              <w:t xml:space="preserve"> </w:t>
            </w:r>
          </w:p>
          <w:p w:rsidR="006E24F9" w:rsidRPr="00BD0D85" w:rsidRDefault="006E24F9" w:rsidP="00CC5FDF">
            <w:pPr>
              <w:pStyle w:val="a7"/>
              <w:numPr>
                <w:ilvl w:val="1"/>
                <w:numId w:val="16"/>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指數基期：指數起始日期為</w:t>
            </w:r>
            <w:r w:rsidRPr="00BD0D85">
              <w:rPr>
                <w:rFonts w:ascii="Times New Roman" w:eastAsia="標楷體" w:hAnsi="Times New Roman"/>
                <w:color w:val="000000" w:themeColor="text1"/>
                <w:szCs w:val="24"/>
              </w:rPr>
              <w:t>20xx</w:t>
            </w:r>
            <w:r w:rsidRPr="00BD0D85">
              <w:rPr>
                <w:rFonts w:ascii="Times New Roman" w:eastAsia="標楷體" w:hAnsi="Times New Roman"/>
                <w:color w:val="000000" w:themeColor="text1"/>
                <w:szCs w:val="24"/>
              </w:rPr>
              <w:t>年</w:t>
            </w:r>
            <w:r w:rsidRPr="00BD0D85">
              <w:rPr>
                <w:rFonts w:ascii="Times New Roman" w:eastAsia="標楷體" w:hAnsi="Times New Roman"/>
                <w:color w:val="000000" w:themeColor="text1"/>
                <w:szCs w:val="24"/>
              </w:rPr>
              <w:t>x</w:t>
            </w:r>
            <w:r w:rsidRPr="00BD0D85">
              <w:rPr>
                <w:rFonts w:ascii="Times New Roman" w:eastAsia="標楷體" w:hAnsi="Times New Roman"/>
                <w:color w:val="000000" w:themeColor="text1"/>
                <w:szCs w:val="24"/>
              </w:rPr>
              <w:t>月</w:t>
            </w:r>
            <w:r w:rsidRPr="00BD0D85">
              <w:rPr>
                <w:rFonts w:ascii="Times New Roman" w:eastAsia="標楷體" w:hAnsi="Times New Roman"/>
                <w:color w:val="000000" w:themeColor="text1"/>
                <w:szCs w:val="24"/>
              </w:rPr>
              <w:t>x</w:t>
            </w:r>
            <w:r w:rsidRPr="00BD0D85">
              <w:rPr>
                <w:rFonts w:ascii="Times New Roman" w:eastAsia="標楷體" w:hAnsi="Times New Roman"/>
                <w:color w:val="000000" w:themeColor="text1"/>
                <w:szCs w:val="24"/>
              </w:rPr>
              <w:t>日，</w:t>
            </w:r>
            <w:proofErr w:type="gramStart"/>
            <w:r w:rsidRPr="00BD0D85">
              <w:rPr>
                <w:rFonts w:ascii="Times New Roman" w:eastAsia="標楷體" w:hAnsi="Times New Roman"/>
                <w:color w:val="000000" w:themeColor="text1"/>
                <w:szCs w:val="24"/>
              </w:rPr>
              <w:t>基值為</w:t>
            </w:r>
            <w:proofErr w:type="gramEnd"/>
            <w:r w:rsidRPr="00BD0D85">
              <w:rPr>
                <w:rFonts w:ascii="Times New Roman" w:eastAsia="標楷體" w:hAnsi="Times New Roman"/>
                <w:color w:val="000000" w:themeColor="text1"/>
                <w:szCs w:val="24"/>
              </w:rPr>
              <w:t>xxx</w:t>
            </w:r>
            <w:r w:rsidRPr="00BD0D85">
              <w:rPr>
                <w:rFonts w:ascii="Times New Roman" w:eastAsia="標楷體" w:hAnsi="Times New Roman"/>
                <w:color w:val="000000" w:themeColor="text1"/>
                <w:szCs w:val="24"/>
              </w:rPr>
              <w:t>。</w:t>
            </w:r>
          </w:p>
          <w:p w:rsidR="006E24F9" w:rsidRPr="00BD0D85" w:rsidRDefault="006E24F9" w:rsidP="00CC5FDF">
            <w:pPr>
              <w:pStyle w:val="a7"/>
              <w:numPr>
                <w:ilvl w:val="1"/>
                <w:numId w:val="16"/>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指數發布日：</w:t>
            </w:r>
            <w:r w:rsidRPr="00BD0D85">
              <w:rPr>
                <w:rFonts w:ascii="Times New Roman" w:eastAsia="標楷體" w:hAnsi="Times New Roman"/>
                <w:color w:val="000000" w:themeColor="text1"/>
                <w:szCs w:val="24"/>
              </w:rPr>
              <w:t>20xx</w:t>
            </w:r>
            <w:r w:rsidRPr="00BD0D85">
              <w:rPr>
                <w:rFonts w:ascii="Times New Roman" w:eastAsia="標楷體" w:hAnsi="Times New Roman"/>
                <w:color w:val="000000" w:themeColor="text1"/>
                <w:szCs w:val="24"/>
              </w:rPr>
              <w:t>年</w:t>
            </w:r>
            <w:r w:rsidRPr="00BD0D85">
              <w:rPr>
                <w:rFonts w:ascii="Times New Roman" w:eastAsia="標楷體" w:hAnsi="Times New Roman"/>
                <w:color w:val="000000" w:themeColor="text1"/>
                <w:szCs w:val="24"/>
              </w:rPr>
              <w:t>x</w:t>
            </w:r>
            <w:r w:rsidRPr="00BD0D85">
              <w:rPr>
                <w:rFonts w:ascii="Times New Roman" w:eastAsia="標楷體" w:hAnsi="Times New Roman"/>
                <w:color w:val="000000" w:themeColor="text1"/>
                <w:szCs w:val="24"/>
              </w:rPr>
              <w:t>月</w:t>
            </w:r>
            <w:r w:rsidRPr="00BD0D85">
              <w:rPr>
                <w:rFonts w:ascii="Times New Roman" w:eastAsia="標楷體" w:hAnsi="Times New Roman"/>
                <w:color w:val="000000" w:themeColor="text1"/>
                <w:szCs w:val="24"/>
              </w:rPr>
              <w:t>x</w:t>
            </w:r>
            <w:r w:rsidRPr="00BD0D85">
              <w:rPr>
                <w:rFonts w:ascii="Times New Roman" w:eastAsia="標楷體" w:hAnsi="Times New Roman"/>
                <w:color w:val="000000" w:themeColor="text1"/>
                <w:szCs w:val="24"/>
              </w:rPr>
              <w:t>日。</w:t>
            </w:r>
          </w:p>
          <w:p w:rsidR="00497EFA" w:rsidRPr="00BD0D85" w:rsidRDefault="00497EFA" w:rsidP="00CC5FDF">
            <w:pPr>
              <w:pStyle w:val="a7"/>
              <w:numPr>
                <w:ilvl w:val="1"/>
                <w:numId w:val="16"/>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指數編製機構：</w:t>
            </w:r>
          </w:p>
          <w:p w:rsidR="00497EFA" w:rsidRPr="00BD0D85" w:rsidRDefault="00497EFA" w:rsidP="00497EFA">
            <w:pPr>
              <w:spacing w:line="320" w:lineRule="exact"/>
              <w:ind w:left="480" w:hanging="480"/>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二、指數編製邏輯及計算方式。</w:t>
            </w:r>
          </w:p>
          <w:p w:rsidR="00442AC0" w:rsidRPr="00BD0D85" w:rsidRDefault="00CB7225" w:rsidP="00497EFA">
            <w:pPr>
              <w:pStyle w:val="a7"/>
              <w:numPr>
                <w:ilvl w:val="1"/>
                <w:numId w:val="37"/>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成分</w:t>
            </w:r>
            <w:r w:rsidR="006F0F74" w:rsidRPr="00BD0D85">
              <w:rPr>
                <w:rFonts w:ascii="Times New Roman" w:eastAsia="標楷體" w:hAnsi="Times New Roman" w:hint="eastAsia"/>
                <w:color w:val="000000" w:themeColor="text1"/>
                <w:szCs w:val="24"/>
              </w:rPr>
              <w:t>證券</w:t>
            </w:r>
            <w:r w:rsidR="006E24F9" w:rsidRPr="00BD0D85">
              <w:rPr>
                <w:rFonts w:ascii="Times New Roman" w:eastAsia="標楷體" w:hAnsi="Times New Roman"/>
                <w:color w:val="000000" w:themeColor="text1"/>
                <w:szCs w:val="24"/>
              </w:rPr>
              <w:t>篩選條件</w:t>
            </w:r>
            <w:r w:rsidR="00442AC0" w:rsidRPr="00BD0D85">
              <w:rPr>
                <w:rFonts w:ascii="Times New Roman" w:eastAsia="標楷體" w:hAnsi="Times New Roman" w:hint="eastAsia"/>
                <w:color w:val="000000" w:themeColor="text1"/>
                <w:szCs w:val="24"/>
              </w:rPr>
              <w:t>：</w:t>
            </w:r>
          </w:p>
          <w:p w:rsidR="00442AC0" w:rsidRPr="00BD0D85" w:rsidRDefault="00442AC0" w:rsidP="00442AC0">
            <w:pPr>
              <w:pStyle w:val="a7"/>
              <w:numPr>
                <w:ilvl w:val="0"/>
                <w:numId w:val="38"/>
              </w:numPr>
              <w:spacing w:line="320" w:lineRule="exact"/>
              <w:ind w:left="1268" w:hanging="284"/>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母體</w:t>
            </w:r>
            <w:r w:rsidR="00950AF8" w:rsidRPr="00BD0D85">
              <w:rPr>
                <w:rFonts w:ascii="Times New Roman" w:eastAsia="標楷體" w:hAnsi="Times New Roman" w:hint="eastAsia"/>
                <w:color w:val="000000" w:themeColor="text1"/>
                <w:szCs w:val="24"/>
              </w:rPr>
              <w:t>(</w:t>
            </w:r>
            <w:r w:rsidR="00950AF8" w:rsidRPr="00BD0D85">
              <w:rPr>
                <w:rFonts w:ascii="Times New Roman" w:eastAsia="標楷體" w:hAnsi="Times New Roman" w:hint="eastAsia"/>
                <w:color w:val="000000" w:themeColor="text1"/>
                <w:szCs w:val="24"/>
              </w:rPr>
              <w:t>含指數母體及</w:t>
            </w:r>
            <w:proofErr w:type="gramStart"/>
            <w:r w:rsidR="00950AF8" w:rsidRPr="00BD0D85">
              <w:rPr>
                <w:rFonts w:ascii="Times New Roman" w:eastAsia="標楷體" w:hAnsi="Times New Roman" w:hint="eastAsia"/>
                <w:color w:val="000000" w:themeColor="text1"/>
                <w:szCs w:val="24"/>
              </w:rPr>
              <w:t>採</w:t>
            </w:r>
            <w:proofErr w:type="gramEnd"/>
            <w:r w:rsidR="00950AF8" w:rsidRPr="00BD0D85">
              <w:rPr>
                <w:rFonts w:ascii="Times New Roman" w:eastAsia="標楷體" w:hAnsi="Times New Roman" w:hint="eastAsia"/>
                <w:color w:val="000000" w:themeColor="text1"/>
                <w:szCs w:val="24"/>
              </w:rPr>
              <w:t>樣範圍</w:t>
            </w:r>
            <w:r w:rsidR="00950AF8"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w:t>
            </w:r>
          </w:p>
          <w:p w:rsidR="00442AC0" w:rsidRPr="00BD0D85" w:rsidRDefault="006E24F9" w:rsidP="00442AC0">
            <w:pPr>
              <w:pStyle w:val="a7"/>
              <w:numPr>
                <w:ilvl w:val="0"/>
                <w:numId w:val="38"/>
              </w:numPr>
              <w:spacing w:line="320" w:lineRule="exact"/>
              <w:ind w:left="1268" w:hanging="284"/>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各項篩選標準</w:t>
            </w:r>
            <w:r w:rsidR="00950AF8" w:rsidRPr="00BD0D85">
              <w:rPr>
                <w:rFonts w:ascii="Times New Roman" w:eastAsia="標楷體" w:hAnsi="Times New Roman" w:hint="eastAsia"/>
                <w:color w:val="000000" w:themeColor="text1"/>
                <w:szCs w:val="24"/>
              </w:rPr>
              <w:t>(</w:t>
            </w:r>
            <w:r w:rsidR="00950AF8" w:rsidRPr="00BD0D85">
              <w:rPr>
                <w:rFonts w:ascii="Times New Roman" w:eastAsia="標楷體" w:hAnsi="Times New Roman" w:hint="eastAsia"/>
                <w:color w:val="000000" w:themeColor="text1"/>
                <w:szCs w:val="24"/>
              </w:rPr>
              <w:t>含流動性檢驗及指標篩選</w:t>
            </w:r>
            <w:r w:rsidR="00950AF8" w:rsidRPr="00BD0D85">
              <w:rPr>
                <w:rFonts w:ascii="Times New Roman" w:eastAsia="標楷體" w:hAnsi="Times New Roman" w:hint="eastAsia"/>
                <w:color w:val="000000" w:themeColor="text1"/>
                <w:szCs w:val="24"/>
              </w:rPr>
              <w:t>)</w:t>
            </w:r>
            <w:r w:rsidR="00442AC0" w:rsidRPr="00BD0D85">
              <w:rPr>
                <w:rFonts w:ascii="Times New Roman" w:eastAsia="標楷體" w:hAnsi="Times New Roman" w:hint="eastAsia"/>
                <w:color w:val="000000" w:themeColor="text1"/>
                <w:szCs w:val="24"/>
              </w:rPr>
              <w:t>。</w:t>
            </w:r>
          </w:p>
          <w:p w:rsidR="008249EA" w:rsidRPr="00BD0D85" w:rsidRDefault="008249EA" w:rsidP="00442AC0">
            <w:pPr>
              <w:pStyle w:val="a7"/>
              <w:numPr>
                <w:ilvl w:val="0"/>
                <w:numId w:val="38"/>
              </w:numPr>
              <w:spacing w:line="320" w:lineRule="exact"/>
              <w:ind w:left="1268" w:hanging="284"/>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排序方式及</w:t>
            </w:r>
            <w:r w:rsidRPr="00BD0D85">
              <w:rPr>
                <w:rFonts w:ascii="Times New Roman" w:eastAsia="標楷體" w:hAnsi="Times New Roman"/>
                <w:color w:val="000000" w:themeColor="text1"/>
                <w:szCs w:val="24"/>
              </w:rPr>
              <w:t>成分</w:t>
            </w:r>
            <w:r w:rsidRPr="00BD0D85">
              <w:rPr>
                <w:rFonts w:ascii="Times New Roman" w:eastAsia="標楷體" w:hAnsi="Times New Roman" w:hint="eastAsia"/>
                <w:color w:val="000000" w:themeColor="text1"/>
                <w:szCs w:val="24"/>
              </w:rPr>
              <w:t>證券</w:t>
            </w:r>
            <w:r w:rsidRPr="00BD0D85">
              <w:rPr>
                <w:rFonts w:ascii="Times New Roman" w:eastAsia="標楷體" w:hAnsi="Times New Roman"/>
                <w:color w:val="000000" w:themeColor="text1"/>
                <w:szCs w:val="24"/>
              </w:rPr>
              <w:t>檔數</w:t>
            </w:r>
            <w:r w:rsidRPr="00BD0D85">
              <w:rPr>
                <w:rFonts w:ascii="Times New Roman" w:eastAsia="標楷體" w:hAnsi="Times New Roman" w:hint="eastAsia"/>
                <w:color w:val="000000" w:themeColor="text1"/>
                <w:szCs w:val="24"/>
              </w:rPr>
              <w:t>。</w:t>
            </w:r>
          </w:p>
          <w:p w:rsidR="006E24F9" w:rsidRPr="00BD0D85" w:rsidRDefault="008249EA" w:rsidP="00442AC0">
            <w:pPr>
              <w:pStyle w:val="a7"/>
              <w:numPr>
                <w:ilvl w:val="0"/>
                <w:numId w:val="38"/>
              </w:numPr>
              <w:spacing w:line="320" w:lineRule="exact"/>
              <w:ind w:left="1268" w:hanging="284"/>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權重計算</w:t>
            </w:r>
            <w:r w:rsidR="006E24F9" w:rsidRPr="00BD0D85">
              <w:rPr>
                <w:rFonts w:ascii="Times New Roman" w:eastAsia="標楷體" w:hAnsi="Times New Roman"/>
                <w:color w:val="000000" w:themeColor="text1"/>
                <w:szCs w:val="24"/>
              </w:rPr>
              <w:t>。</w:t>
            </w:r>
          </w:p>
          <w:p w:rsidR="008249EA" w:rsidRPr="00BD0D85" w:rsidRDefault="008249EA" w:rsidP="00497EFA">
            <w:pPr>
              <w:pStyle w:val="a7"/>
              <w:numPr>
                <w:ilvl w:val="1"/>
                <w:numId w:val="37"/>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指數計算方式：</w:t>
            </w:r>
          </w:p>
          <w:p w:rsidR="008249EA" w:rsidRPr="00BD0D85" w:rsidRDefault="008249EA" w:rsidP="008249EA">
            <w:pPr>
              <w:pStyle w:val="a7"/>
              <w:numPr>
                <w:ilvl w:val="0"/>
                <w:numId w:val="41"/>
              </w:numPr>
              <w:spacing w:line="320" w:lineRule="exact"/>
              <w:ind w:left="1254" w:hanging="232"/>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指數計算頻率。</w:t>
            </w:r>
          </w:p>
          <w:p w:rsidR="008249EA" w:rsidRPr="00BD0D85" w:rsidRDefault="008249EA" w:rsidP="008249EA">
            <w:pPr>
              <w:pStyle w:val="a7"/>
              <w:numPr>
                <w:ilvl w:val="0"/>
                <w:numId w:val="41"/>
              </w:numPr>
              <w:spacing w:line="320" w:lineRule="exact"/>
              <w:ind w:left="1254" w:hanging="232"/>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計算公式。</w:t>
            </w:r>
          </w:p>
          <w:p w:rsidR="006E24F9" w:rsidRPr="00BD0D85" w:rsidRDefault="006E24F9" w:rsidP="00497EFA">
            <w:pPr>
              <w:pStyle w:val="a7"/>
              <w:numPr>
                <w:ilvl w:val="1"/>
                <w:numId w:val="37"/>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指數定期調整方式、是否設置緩衝區等以降低成分</w:t>
            </w:r>
            <w:r w:rsidR="00FE20B1" w:rsidRPr="00BD0D85">
              <w:rPr>
                <w:rFonts w:ascii="Times New Roman" w:eastAsia="標楷體" w:hAnsi="Times New Roman" w:hint="eastAsia"/>
                <w:color w:val="000000" w:themeColor="text1"/>
                <w:szCs w:val="24"/>
              </w:rPr>
              <w:t>證券</w:t>
            </w:r>
            <w:r w:rsidRPr="00BD0D85">
              <w:rPr>
                <w:rFonts w:ascii="Times New Roman" w:eastAsia="標楷體" w:hAnsi="Times New Roman"/>
                <w:color w:val="000000" w:themeColor="text1"/>
                <w:szCs w:val="24"/>
              </w:rPr>
              <w:t>周轉率之措施。</w:t>
            </w:r>
          </w:p>
          <w:p w:rsidR="006E24F9" w:rsidRPr="00BD0D85" w:rsidRDefault="006427FD" w:rsidP="006E24F9">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三</w:t>
            </w:r>
            <w:r w:rsidR="006E24F9" w:rsidRPr="00BD0D85">
              <w:rPr>
                <w:rFonts w:ascii="Times New Roman" w:eastAsia="標楷體" w:hAnsi="Times New Roman"/>
                <w:color w:val="000000" w:themeColor="text1"/>
                <w:szCs w:val="24"/>
              </w:rPr>
              <w:t>、追蹤、模擬或複製指數表現之操作方式。</w:t>
            </w:r>
          </w:p>
          <w:p w:rsidR="008249EA" w:rsidRPr="00BD0D85" w:rsidRDefault="006427FD" w:rsidP="006427FD">
            <w:pPr>
              <w:pStyle w:val="a7"/>
              <w:numPr>
                <w:ilvl w:val="1"/>
                <w:numId w:val="43"/>
              </w:numPr>
              <w:spacing w:line="320" w:lineRule="exact"/>
              <w:ind w:hanging="292"/>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請說明係</w:t>
            </w:r>
            <w:proofErr w:type="gramStart"/>
            <w:r w:rsidRPr="00BD0D85">
              <w:rPr>
                <w:rFonts w:ascii="Times New Roman" w:eastAsia="標楷體" w:hAnsi="Times New Roman" w:hint="eastAsia"/>
                <w:color w:val="000000" w:themeColor="text1"/>
                <w:szCs w:val="24"/>
              </w:rPr>
              <w:t>採</w:t>
            </w:r>
            <w:proofErr w:type="gramEnd"/>
            <w:r w:rsidRPr="00BD0D85">
              <w:rPr>
                <w:rFonts w:ascii="Times New Roman" w:eastAsia="標楷體" w:hAnsi="Times New Roman" w:hint="eastAsia"/>
                <w:color w:val="000000" w:themeColor="text1"/>
                <w:szCs w:val="24"/>
              </w:rPr>
              <w:t>完全複製法或最佳化法等指數化策略。</w:t>
            </w:r>
          </w:p>
          <w:p w:rsidR="006427FD" w:rsidRPr="00BD0D85" w:rsidRDefault="006427FD" w:rsidP="006427FD">
            <w:pPr>
              <w:pStyle w:val="a7"/>
              <w:numPr>
                <w:ilvl w:val="1"/>
                <w:numId w:val="43"/>
              </w:numPr>
              <w:spacing w:line="320" w:lineRule="exact"/>
              <w:ind w:left="1022" w:hanging="426"/>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請說明投入標的指數成分證券之金額原則須達基金淨資產價值之比例、無法達成之情形及因應措施等。</w:t>
            </w:r>
          </w:p>
          <w:p w:rsidR="000126BB" w:rsidRPr="00BD0D85" w:rsidRDefault="000126BB" w:rsidP="000126BB">
            <w:pPr>
              <w:pStyle w:val="a7"/>
              <w:numPr>
                <w:ilvl w:val="1"/>
                <w:numId w:val="43"/>
              </w:numPr>
              <w:spacing w:line="320" w:lineRule="exact"/>
              <w:ind w:left="1022" w:hanging="426"/>
              <w:rPr>
                <w:rFonts w:ascii="Times New Roman" w:eastAsia="標楷體" w:hAnsi="Times New Roman"/>
                <w:color w:val="000000" w:themeColor="text1"/>
                <w:szCs w:val="24"/>
              </w:rPr>
            </w:pPr>
            <w:proofErr w:type="gramStart"/>
            <w:r w:rsidRPr="00BD0D85">
              <w:rPr>
                <w:rFonts w:ascii="Times New Roman" w:eastAsia="標楷體" w:hAnsi="Times New Roman" w:hint="eastAsia"/>
                <w:color w:val="000000" w:themeColor="text1"/>
                <w:szCs w:val="24"/>
              </w:rPr>
              <w:t>採</w:t>
            </w:r>
            <w:proofErr w:type="gramEnd"/>
            <w:r w:rsidRPr="00BD0D85">
              <w:rPr>
                <w:rFonts w:ascii="Times New Roman" w:eastAsia="標楷體" w:hAnsi="Times New Roman" w:hint="eastAsia"/>
                <w:color w:val="000000" w:themeColor="text1"/>
                <w:szCs w:val="24"/>
              </w:rPr>
              <w:t>完全複製法之基金，投入指數成分證</w:t>
            </w:r>
            <w:r w:rsidR="00866C13" w:rsidRPr="00BD0D85">
              <w:rPr>
                <w:rFonts w:ascii="Times New Roman" w:eastAsia="標楷體" w:hAnsi="Times New Roman" w:hint="eastAsia"/>
                <w:color w:val="000000" w:themeColor="text1"/>
                <w:szCs w:val="24"/>
              </w:rPr>
              <w:t>券之金額原則須達基金淨資產價值比例及檔數覆蓋率，及敘明未能達成</w:t>
            </w:r>
            <w:r w:rsidRPr="00BD0D85">
              <w:rPr>
                <w:rFonts w:ascii="Times New Roman" w:eastAsia="標楷體" w:hAnsi="Times New Roman" w:hint="eastAsia"/>
                <w:color w:val="000000" w:themeColor="text1"/>
                <w:szCs w:val="24"/>
              </w:rPr>
              <w:t>之例外情形及調整方式。</w:t>
            </w:r>
          </w:p>
          <w:p w:rsidR="006427FD" w:rsidRPr="00BD0D85" w:rsidRDefault="006427FD" w:rsidP="006427FD">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四</w:t>
            </w:r>
            <w:r w:rsidRPr="00BD0D85">
              <w:rPr>
                <w:rFonts w:ascii="Times New Roman" w:eastAsia="標楷體" w:hAnsi="Times New Roman"/>
                <w:color w:val="000000" w:themeColor="text1"/>
                <w:szCs w:val="24"/>
              </w:rPr>
              <w:t>、指數相關費用。</w:t>
            </w:r>
          </w:p>
          <w:p w:rsidR="001B570E" w:rsidRPr="00BD0D85" w:rsidRDefault="00497EFA" w:rsidP="006E24F9">
            <w:p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五</w:t>
            </w:r>
            <w:r w:rsidR="001B570E" w:rsidRPr="00BD0D85">
              <w:rPr>
                <w:rFonts w:ascii="Times New Roman" w:eastAsia="標楷體" w:hAnsi="Times New Roman" w:hint="eastAsia"/>
                <w:color w:val="000000" w:themeColor="text1"/>
                <w:szCs w:val="24"/>
              </w:rPr>
              <w:t>、</w:t>
            </w:r>
            <w:r w:rsidR="00AB5A9E" w:rsidRPr="00BD0D85">
              <w:rPr>
                <w:rFonts w:ascii="Times New Roman" w:eastAsia="標楷體" w:hAnsi="Times New Roman"/>
                <w:color w:val="000000" w:themeColor="text1"/>
                <w:szCs w:val="24"/>
              </w:rPr>
              <w:t>標的指數為客製化指數之基金，</w:t>
            </w:r>
            <w:r w:rsidR="00AB5A9E" w:rsidRPr="00BD0D85">
              <w:rPr>
                <w:rFonts w:ascii="Times New Roman" w:eastAsia="標楷體" w:hAnsi="Times New Roman" w:hint="eastAsia"/>
                <w:color w:val="000000" w:themeColor="text1"/>
                <w:szCs w:val="24"/>
              </w:rPr>
              <w:t>是否於公開說明書揭露下列事項：</w:t>
            </w:r>
          </w:p>
          <w:p w:rsidR="00AB5A9E" w:rsidRPr="00BD0D85" w:rsidRDefault="00AB5A9E" w:rsidP="00AB5A9E">
            <w:pPr>
              <w:pStyle w:val="a7"/>
              <w:numPr>
                <w:ilvl w:val="1"/>
                <w:numId w:val="35"/>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說明標的指數為客製化。</w:t>
            </w:r>
          </w:p>
          <w:p w:rsidR="00AB5A9E" w:rsidRPr="00BD0D85" w:rsidRDefault="00AB5A9E" w:rsidP="00AB5A9E">
            <w:pPr>
              <w:pStyle w:val="a7"/>
              <w:numPr>
                <w:ilvl w:val="1"/>
                <w:numId w:val="35"/>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以淺顯精要的文字及數據</w:t>
            </w:r>
            <w:proofErr w:type="gramStart"/>
            <w:r w:rsidRPr="00BD0D85">
              <w:rPr>
                <w:rFonts w:ascii="Times New Roman" w:eastAsia="標楷體" w:hAnsi="Times New Roman" w:hint="eastAsia"/>
                <w:color w:val="000000" w:themeColor="text1"/>
                <w:szCs w:val="24"/>
              </w:rPr>
              <w:t>描述該客製</w:t>
            </w:r>
            <w:proofErr w:type="gramEnd"/>
            <w:r w:rsidRPr="00BD0D85">
              <w:rPr>
                <w:rFonts w:ascii="Times New Roman" w:eastAsia="標楷體" w:hAnsi="Times New Roman" w:hint="eastAsia"/>
                <w:color w:val="000000" w:themeColor="text1"/>
                <w:szCs w:val="24"/>
              </w:rPr>
              <w:t>化指數所表彰投資策略之風險特性，並說明其與傳統市值型指數之風險特性差異，請著重於揭露</w:t>
            </w: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客製化指數與傳統指數之差異，及說明相關差異導致之風險</w:t>
            </w: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w:t>
            </w:r>
          </w:p>
          <w:p w:rsidR="00AB5A9E" w:rsidRPr="00BD0D85" w:rsidRDefault="00AB5A9E" w:rsidP="00AB5A9E">
            <w:pPr>
              <w:pStyle w:val="a7"/>
              <w:numPr>
                <w:ilvl w:val="1"/>
                <w:numId w:val="35"/>
              </w:numPr>
              <w:spacing w:line="320" w:lineRule="exact"/>
              <w:ind w:left="1022" w:hanging="455"/>
              <w:rPr>
                <w:rFonts w:ascii="Times New Roman" w:eastAsia="標楷體" w:hAnsi="Times New Roman"/>
                <w:color w:val="000000" w:themeColor="text1"/>
                <w:szCs w:val="24"/>
              </w:rPr>
            </w:pPr>
            <w:proofErr w:type="gramStart"/>
            <w:r w:rsidRPr="00BD0D85">
              <w:rPr>
                <w:rFonts w:ascii="Times New Roman" w:eastAsia="標楷體" w:hAnsi="Times New Roman" w:hint="eastAsia"/>
                <w:color w:val="000000" w:themeColor="text1"/>
                <w:szCs w:val="24"/>
              </w:rPr>
              <w:lastRenderedPageBreak/>
              <w:t>該客製</w:t>
            </w:r>
            <w:proofErr w:type="gramEnd"/>
            <w:r w:rsidRPr="00BD0D85">
              <w:rPr>
                <w:rFonts w:ascii="Times New Roman" w:eastAsia="標楷體" w:hAnsi="Times New Roman" w:hint="eastAsia"/>
                <w:color w:val="000000" w:themeColor="text1"/>
                <w:szCs w:val="24"/>
              </w:rPr>
              <w:t>化指數若遇有變更授權費用之因應處理程序，並敘明可能對投資人產生之影響。</w:t>
            </w:r>
          </w:p>
        </w:tc>
        <w:tc>
          <w:tcPr>
            <w:tcW w:w="1946" w:type="dxa"/>
            <w:gridSpan w:val="2"/>
            <w:tcBorders>
              <w:top w:val="single" w:sz="4" w:space="0" w:color="auto"/>
              <w:left w:val="single" w:sz="4" w:space="0" w:color="000000"/>
              <w:bottom w:val="single" w:sz="4" w:space="0" w:color="000000"/>
              <w:right w:val="single" w:sz="4" w:space="0" w:color="000000"/>
            </w:tcBorders>
            <w:shd w:val="clear" w:color="auto" w:fill="auto"/>
          </w:tcPr>
          <w:p w:rsidR="006E24F9" w:rsidRPr="00BD0D85" w:rsidRDefault="006E24F9" w:rsidP="006E24F9">
            <w:pPr>
              <w:widowControl/>
              <w:spacing w:line="320" w:lineRule="exact"/>
              <w:rPr>
                <w:rFonts w:ascii="Times New Roman" w:eastAsia="標楷體" w:hAnsi="Times New Roman"/>
                <w:color w:val="000000" w:themeColor="text1"/>
                <w:szCs w:val="24"/>
                <w:highlight w:val="yellow"/>
              </w:rPr>
            </w:pPr>
          </w:p>
        </w:tc>
      </w:tr>
      <w:tr w:rsidR="00BD0D85" w:rsidRPr="00BD0D85" w:rsidTr="003D55F1">
        <w:trPr>
          <w:trHeight w:val="974"/>
          <w:jc w:val="center"/>
        </w:trPr>
        <w:tc>
          <w:tcPr>
            <w:tcW w:w="2694" w:type="dxa"/>
            <w:vMerge/>
            <w:tcBorders>
              <w:left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rsidP="006E24F9">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highlight w:val="green"/>
              </w:rPr>
            </w:pPr>
          </w:p>
        </w:tc>
        <w:tc>
          <w:tcPr>
            <w:tcW w:w="1135" w:type="dxa"/>
            <w:vMerge/>
            <w:tcBorders>
              <w:left w:val="single" w:sz="4" w:space="0" w:color="auto"/>
              <w:right w:val="single" w:sz="4" w:space="0" w:color="000000"/>
            </w:tcBorders>
            <w:shd w:val="clear" w:color="auto" w:fill="auto"/>
            <w:tcMar>
              <w:top w:w="0" w:type="dxa"/>
              <w:left w:w="108" w:type="dxa"/>
              <w:bottom w:w="0" w:type="dxa"/>
              <w:right w:w="108" w:type="dxa"/>
            </w:tcMar>
          </w:tcPr>
          <w:p w:rsidR="00F2152D" w:rsidRPr="00BD0D85" w:rsidRDefault="00F2152D" w:rsidP="006E24F9">
            <w:pPr>
              <w:widowControl/>
              <w:spacing w:line="320" w:lineRule="exact"/>
              <w:rPr>
                <w:rFonts w:ascii="標楷體" w:eastAsia="標楷體" w:hAnsi="標楷體"/>
                <w:color w:val="000000" w:themeColor="text1"/>
                <w:szCs w:val="24"/>
                <w:highlight w:val="green"/>
              </w:rPr>
            </w:pPr>
          </w:p>
        </w:tc>
        <w:tc>
          <w:tcPr>
            <w:tcW w:w="108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6E24F9">
            <w:pPr>
              <w:spacing w:line="320" w:lineRule="exact"/>
              <w:ind w:left="480" w:hanging="480"/>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AB5A9E">
            <w:pPr>
              <w:pStyle w:val="a7"/>
              <w:numPr>
                <w:ilvl w:val="0"/>
                <w:numId w:val="36"/>
              </w:numPr>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請說明各項篩選標準下之篩選結果。</w:t>
            </w:r>
          </w:p>
          <w:p w:rsidR="00F2152D" w:rsidRPr="00BD0D85" w:rsidRDefault="00F2152D" w:rsidP="00AB1A07">
            <w:pPr>
              <w:pStyle w:val="a7"/>
              <w:numPr>
                <w:ilvl w:val="0"/>
                <w:numId w:val="36"/>
              </w:numPr>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最近</w:t>
            </w:r>
            <w:r w:rsidRPr="00BD0D85">
              <w:rPr>
                <w:rFonts w:ascii="Times New Roman" w:eastAsia="標楷體" w:hAnsi="Times New Roman"/>
                <w:color w:val="000000" w:themeColor="text1"/>
                <w:szCs w:val="24"/>
              </w:rPr>
              <w:t>3</w:t>
            </w:r>
            <w:r w:rsidRPr="00BD0D85">
              <w:rPr>
                <w:rFonts w:ascii="Times New Roman" w:eastAsia="標楷體" w:hAnsi="Times New Roman"/>
                <w:color w:val="000000" w:themeColor="text1"/>
                <w:szCs w:val="24"/>
              </w:rPr>
              <w:t>年指數成分</w:t>
            </w:r>
            <w:r w:rsidRPr="00BD0D85">
              <w:rPr>
                <w:rFonts w:ascii="Times New Roman" w:eastAsia="標楷體" w:hAnsi="Times New Roman" w:hint="eastAsia"/>
                <w:color w:val="000000" w:themeColor="text1"/>
                <w:szCs w:val="24"/>
              </w:rPr>
              <w:t>證券</w:t>
            </w:r>
            <w:r w:rsidRPr="00BD0D85">
              <w:rPr>
                <w:rFonts w:ascii="Times New Roman" w:eastAsia="標楷體" w:hAnsi="Times New Roman"/>
                <w:color w:val="000000" w:themeColor="text1"/>
                <w:szCs w:val="24"/>
              </w:rPr>
              <w:t>異動情形，</w:t>
            </w:r>
            <w:proofErr w:type="gramStart"/>
            <w:r w:rsidRPr="00BD0D85">
              <w:rPr>
                <w:rFonts w:ascii="Times New Roman" w:eastAsia="標楷體" w:hAnsi="Times New Roman"/>
                <w:color w:val="000000" w:themeColor="text1"/>
                <w:szCs w:val="24"/>
              </w:rPr>
              <w:t>含異動</w:t>
            </w:r>
            <w:proofErr w:type="gramEnd"/>
            <w:r w:rsidRPr="00BD0D85">
              <w:rPr>
                <w:rFonts w:ascii="Times New Roman" w:eastAsia="標楷體" w:hAnsi="Times New Roman"/>
                <w:color w:val="000000" w:themeColor="text1"/>
                <w:szCs w:val="24"/>
              </w:rPr>
              <w:t>明細、檔數、權重及每次定審之換股比率等資料</w:t>
            </w:r>
            <w:r w:rsidRPr="00BD0D85">
              <w:rPr>
                <w:rFonts w:ascii="Times New Roman" w:eastAsia="標楷體" w:hAnsi="Times New Roman" w:hint="eastAsia"/>
                <w:color w:val="000000" w:themeColor="text1"/>
                <w:szCs w:val="24"/>
              </w:rPr>
              <w:t>，以說明</w:t>
            </w:r>
            <w:r w:rsidRPr="00BD0D85">
              <w:rPr>
                <w:rFonts w:ascii="Times New Roman" w:eastAsia="標楷體" w:hAnsi="Times New Roman"/>
                <w:color w:val="000000" w:themeColor="text1"/>
                <w:szCs w:val="24"/>
              </w:rPr>
              <w:t>標的成分</w:t>
            </w:r>
            <w:r w:rsidRPr="00BD0D85">
              <w:rPr>
                <w:rFonts w:ascii="Times New Roman" w:eastAsia="標楷體" w:hAnsi="Times New Roman" w:hint="eastAsia"/>
                <w:color w:val="000000" w:themeColor="text1"/>
                <w:szCs w:val="24"/>
              </w:rPr>
              <w:t>證券</w:t>
            </w:r>
            <w:r w:rsidRPr="00BD0D85">
              <w:rPr>
                <w:rFonts w:ascii="Times New Roman" w:eastAsia="標楷體" w:hAnsi="Times New Roman"/>
                <w:color w:val="000000" w:themeColor="text1"/>
                <w:szCs w:val="24"/>
              </w:rPr>
              <w:t>組成之穩定性</w:t>
            </w:r>
            <w:r w:rsidRPr="00BD0D85">
              <w:rPr>
                <w:rFonts w:ascii="Times New Roman" w:eastAsia="標楷體" w:hAnsi="Times New Roman" w:hint="eastAsia"/>
                <w:color w:val="000000" w:themeColor="text1"/>
                <w:szCs w:val="24"/>
              </w:rPr>
              <w:t>。</w:t>
            </w:r>
          </w:p>
          <w:p w:rsidR="00F2152D" w:rsidRPr="00BD0D85" w:rsidRDefault="00F2152D" w:rsidP="006E24F9">
            <w:pPr>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三、標的指數為客製化指數之基金，請說明下列內容：</w:t>
            </w:r>
          </w:p>
          <w:p w:rsidR="00F2152D" w:rsidRPr="00BD0D85" w:rsidRDefault="00F2152D" w:rsidP="00CC5FDF">
            <w:pPr>
              <w:pStyle w:val="a7"/>
              <w:numPr>
                <w:ilvl w:val="1"/>
                <w:numId w:val="18"/>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是否係為配合特定客戶偏好</w:t>
            </w:r>
            <w:proofErr w:type="gramStart"/>
            <w:r w:rsidRPr="00BD0D85">
              <w:rPr>
                <w:rFonts w:ascii="Times New Roman" w:eastAsia="標楷體" w:hAnsi="Times New Roman"/>
                <w:color w:val="000000" w:themeColor="text1"/>
                <w:szCs w:val="24"/>
              </w:rPr>
              <w:t>而予客製</w:t>
            </w:r>
            <w:proofErr w:type="gramEnd"/>
            <w:r w:rsidRPr="00BD0D85">
              <w:rPr>
                <w:rFonts w:ascii="Times New Roman" w:eastAsia="標楷體" w:hAnsi="Times New Roman"/>
                <w:color w:val="000000" w:themeColor="text1"/>
                <w:szCs w:val="24"/>
              </w:rPr>
              <w:t>化。</w:t>
            </w:r>
            <w:r w:rsidRPr="00BD0D85">
              <w:rPr>
                <w:rFonts w:ascii="Times New Roman" w:eastAsia="標楷體" w:hAnsi="Times New Roman"/>
                <w:color w:val="000000" w:themeColor="text1"/>
                <w:szCs w:val="24"/>
              </w:rPr>
              <w:tab/>
            </w:r>
          </w:p>
          <w:p w:rsidR="00F2152D" w:rsidRPr="00BD0D85" w:rsidRDefault="00F2152D" w:rsidP="00CC5FDF">
            <w:pPr>
              <w:pStyle w:val="a7"/>
              <w:numPr>
                <w:ilvl w:val="1"/>
                <w:numId w:val="18"/>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客製化指數之投資觀點是否具合理性。</w:t>
            </w:r>
          </w:p>
          <w:p w:rsidR="00F2152D" w:rsidRPr="00BD0D85" w:rsidRDefault="00F2152D" w:rsidP="00CC5FDF">
            <w:pPr>
              <w:pStyle w:val="a7"/>
              <w:numPr>
                <w:ilvl w:val="1"/>
                <w:numId w:val="18"/>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客製化指數未經時間驗證，其市場性及代表性是否妥適。</w:t>
            </w:r>
            <w:r w:rsidRPr="00BD0D85">
              <w:rPr>
                <w:rFonts w:ascii="Times New Roman" w:eastAsia="標楷體" w:hAnsi="Times New Roman"/>
                <w:color w:val="000000" w:themeColor="text1"/>
                <w:szCs w:val="24"/>
              </w:rPr>
              <w:tab/>
            </w:r>
          </w:p>
          <w:p w:rsidR="00F2152D" w:rsidRPr="00BD0D85" w:rsidRDefault="00F2152D" w:rsidP="00CC5FDF">
            <w:pPr>
              <w:pStyle w:val="a7"/>
              <w:numPr>
                <w:ilvl w:val="1"/>
                <w:numId w:val="18"/>
              </w:numPr>
              <w:spacing w:line="320" w:lineRule="exact"/>
              <w:ind w:left="1022" w:hanging="455"/>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有關指數相關費用之合理性：</w:t>
            </w:r>
          </w:p>
          <w:p w:rsidR="00F2152D" w:rsidRPr="00BD0D85" w:rsidRDefault="00F2152D" w:rsidP="005844F3">
            <w:pPr>
              <w:spacing w:line="320" w:lineRule="exact"/>
              <w:ind w:left="880"/>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1.</w:t>
            </w:r>
            <w:r w:rsidRPr="00BD0D85">
              <w:rPr>
                <w:rFonts w:ascii="Times New Roman" w:eastAsia="標楷體" w:hAnsi="Times New Roman"/>
                <w:color w:val="000000" w:themeColor="text1"/>
                <w:szCs w:val="24"/>
              </w:rPr>
              <w:t>本指數</w:t>
            </w:r>
            <w:proofErr w:type="gramStart"/>
            <w:r w:rsidRPr="00BD0D85">
              <w:rPr>
                <w:rFonts w:ascii="Times New Roman" w:eastAsia="標楷體" w:hAnsi="Times New Roman"/>
                <w:color w:val="000000" w:themeColor="text1"/>
                <w:szCs w:val="24"/>
              </w:rPr>
              <w:t>相較非客</w:t>
            </w:r>
            <w:proofErr w:type="gramEnd"/>
            <w:r w:rsidRPr="00BD0D85">
              <w:rPr>
                <w:rFonts w:ascii="Times New Roman" w:eastAsia="標楷體" w:hAnsi="Times New Roman"/>
                <w:color w:val="000000" w:themeColor="text1"/>
                <w:szCs w:val="24"/>
              </w:rPr>
              <w:t>製化指數之費用，是否合理。</w:t>
            </w:r>
          </w:p>
          <w:p w:rsidR="00F2152D" w:rsidRPr="00BD0D85" w:rsidRDefault="00F2152D" w:rsidP="005844F3">
            <w:pPr>
              <w:spacing w:line="320" w:lineRule="exact"/>
              <w:ind w:leftChars="368" w:left="1053" w:hangingChars="71" w:hanging="170"/>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2.</w:t>
            </w:r>
            <w:r w:rsidRPr="00BD0D85">
              <w:rPr>
                <w:rFonts w:ascii="Times New Roman" w:eastAsia="標楷體" w:hAnsi="Times New Roman"/>
                <w:color w:val="000000" w:themeColor="text1"/>
                <w:szCs w:val="24"/>
              </w:rPr>
              <w:t>與指數公司簽訂之授權契約，是否未訂定「應無條件接受費用調漲」或授權限制等之不利條款。</w:t>
            </w:r>
            <w:r w:rsidRPr="00BD0D85">
              <w:rPr>
                <w:rFonts w:ascii="Times New Roman" w:eastAsia="標楷體" w:hAnsi="Times New Roman"/>
                <w:color w:val="000000" w:themeColor="text1"/>
                <w:szCs w:val="24"/>
              </w:rPr>
              <w:t>(</w:t>
            </w:r>
            <w:r w:rsidRPr="00BD0D85">
              <w:rPr>
                <w:rFonts w:ascii="Times New Roman" w:eastAsia="標楷體" w:hAnsi="Times New Roman"/>
                <w:color w:val="000000" w:themeColor="text1"/>
                <w:szCs w:val="24"/>
              </w:rPr>
              <w:t>如有，</w:t>
            </w:r>
            <w:proofErr w:type="gramStart"/>
            <w:r w:rsidRPr="00BD0D85">
              <w:rPr>
                <w:rFonts w:ascii="Times New Roman" w:eastAsia="標楷體" w:hAnsi="Times New Roman"/>
                <w:color w:val="000000" w:themeColor="text1"/>
                <w:szCs w:val="24"/>
              </w:rPr>
              <w:t>併</w:t>
            </w:r>
            <w:proofErr w:type="gramEnd"/>
            <w:r w:rsidRPr="00BD0D85">
              <w:rPr>
                <w:rFonts w:ascii="Times New Roman" w:eastAsia="標楷體" w:hAnsi="Times New Roman"/>
                <w:color w:val="000000" w:themeColor="text1"/>
                <w:szCs w:val="24"/>
              </w:rPr>
              <w:t>請說明相關因應方式及合理性。</w:t>
            </w:r>
            <w:r w:rsidRPr="00BD0D85">
              <w:rPr>
                <w:rFonts w:ascii="Times New Roman" w:eastAsia="標楷體" w:hAnsi="Times New Roman"/>
                <w:color w:val="000000" w:themeColor="text1"/>
                <w:szCs w:val="24"/>
              </w:rPr>
              <w:t>)</w:t>
            </w:r>
          </w:p>
          <w:p w:rsidR="00F2152D" w:rsidRPr="00BD0D85" w:rsidRDefault="00F2152D" w:rsidP="00BB540C">
            <w:pPr>
              <w:spacing w:line="320" w:lineRule="exact"/>
              <w:ind w:leftChars="368" w:left="1053" w:hangingChars="71" w:hanging="170"/>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3.</w:t>
            </w:r>
            <w:r w:rsidRPr="00BD0D85">
              <w:rPr>
                <w:rFonts w:ascii="Times New Roman" w:eastAsia="標楷體" w:hAnsi="Times New Roman"/>
                <w:color w:val="000000" w:themeColor="text1"/>
                <w:szCs w:val="24"/>
              </w:rPr>
              <w:t>如因調漲費用或被迫終止授權，是否已訂定因應措施以維護投資人權益。</w:t>
            </w:r>
          </w:p>
          <w:p w:rsidR="00F2152D" w:rsidRPr="00BD0D85" w:rsidRDefault="00F2152D" w:rsidP="006E24F9">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四、請說明指數自基期起回測之績效表現及波動度，並與市場大盤比較。</w:t>
            </w:r>
          </w:p>
        </w:tc>
      </w:tr>
      <w:tr w:rsidR="00BD0D85" w:rsidRPr="00BD0D85" w:rsidTr="00BB7F0F">
        <w:trPr>
          <w:trHeight w:val="454"/>
          <w:jc w:val="center"/>
        </w:trPr>
        <w:tc>
          <w:tcPr>
            <w:tcW w:w="269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3A0" w:rsidRPr="00BD0D85" w:rsidRDefault="00B043A0" w:rsidP="0019120C">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highlight w:val="green"/>
              </w:rPr>
            </w:pPr>
          </w:p>
        </w:tc>
        <w:tc>
          <w:tcPr>
            <w:tcW w:w="1135"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19120C">
            <w:pPr>
              <w:widowControl/>
              <w:spacing w:line="320" w:lineRule="exact"/>
              <w:rPr>
                <w:rFonts w:ascii="標楷體" w:eastAsia="標楷體" w:hAnsi="標楷體"/>
                <w:color w:val="000000" w:themeColor="text1"/>
                <w:szCs w:val="24"/>
                <w:highlight w:val="green"/>
              </w:rPr>
            </w:pPr>
          </w:p>
        </w:tc>
        <w:tc>
          <w:tcPr>
            <w:tcW w:w="108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BB7F0F">
            <w:pPr>
              <w:widowControl/>
              <w:spacing w:line="320" w:lineRule="exact"/>
              <w:rPr>
                <w:rFonts w:ascii="Times New Roman" w:eastAsia="標楷體" w:hAnsi="Times New Roman"/>
                <w:color w:val="000000" w:themeColor="text1"/>
                <w:szCs w:val="24"/>
                <w:highlight w:val="yellow"/>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BB7F0F">
        <w:trPr>
          <w:trHeight w:val="741"/>
          <w:jc w:val="center"/>
        </w:trPr>
        <w:tc>
          <w:tcPr>
            <w:tcW w:w="2694" w:type="dxa"/>
            <w:vMerge w:val="restart"/>
            <w:tcBorders>
              <w:left w:val="single" w:sz="4" w:space="0" w:color="auto"/>
              <w:right w:val="single" w:sz="4" w:space="0" w:color="auto"/>
            </w:tcBorders>
            <w:shd w:val="clear" w:color="auto" w:fill="auto"/>
            <w:tcMar>
              <w:top w:w="0" w:type="dxa"/>
              <w:left w:w="108" w:type="dxa"/>
              <w:bottom w:w="0" w:type="dxa"/>
              <w:right w:w="108" w:type="dxa"/>
            </w:tcMar>
          </w:tcPr>
          <w:p w:rsidR="005B0071" w:rsidRPr="00BD0D85" w:rsidRDefault="00992F35" w:rsidP="00992F35">
            <w:pPr>
              <w:widowControl/>
              <w:spacing w:line="320" w:lineRule="exact"/>
              <w:ind w:leftChars="-3" w:left="497" w:hangingChars="210" w:hanging="504"/>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二、</w:t>
            </w:r>
            <w:r w:rsidR="005B0071" w:rsidRPr="00BD0D85">
              <w:rPr>
                <w:rFonts w:ascii="Times New Roman" w:eastAsia="標楷體" w:hAnsi="Times New Roman"/>
                <w:color w:val="000000" w:themeColor="text1"/>
                <w:szCs w:val="24"/>
              </w:rPr>
              <w:t>追蹤誤差機制是否合理。</w:t>
            </w:r>
          </w:p>
          <w:p w:rsidR="005B0071" w:rsidRPr="00BD0D85" w:rsidRDefault="005B0071" w:rsidP="006E24F9">
            <w:pPr>
              <w:spacing w:line="320" w:lineRule="exact"/>
              <w:jc w:val="both"/>
              <w:rPr>
                <w:rFonts w:ascii="Times New Roman" w:eastAsia="標楷體" w:hAnsi="Times New Roman"/>
                <w:color w:val="000000" w:themeColor="text1"/>
                <w:szCs w:val="24"/>
              </w:rPr>
            </w:pPr>
          </w:p>
          <w:p w:rsidR="005B0071" w:rsidRPr="00BD0D85" w:rsidRDefault="005B0071" w:rsidP="006E24F9">
            <w:pPr>
              <w:spacing w:line="320" w:lineRule="exact"/>
              <w:jc w:val="both"/>
              <w:rPr>
                <w:rFonts w:ascii="Times New Roman" w:eastAsia="標楷體" w:hAnsi="Times New Roman"/>
                <w:color w:val="000000" w:themeColor="text1"/>
                <w:szCs w:val="24"/>
              </w:rPr>
            </w:pPr>
          </w:p>
          <w:p w:rsidR="005B0071" w:rsidRPr="00BD0D85" w:rsidRDefault="005B0071" w:rsidP="00514B9B">
            <w:pPr>
              <w:pStyle w:val="a7"/>
              <w:spacing w:line="320" w:lineRule="exact"/>
              <w:ind w:left="360"/>
              <w:jc w:val="both"/>
              <w:rPr>
                <w:rFonts w:ascii="Times New Roman" w:eastAsia="標楷體" w:hAnsi="Times New Roman"/>
                <w:b/>
                <w:color w:val="000000" w:themeColor="text1"/>
                <w:szCs w:val="24"/>
                <w:highlight w:val="green"/>
              </w:rPr>
            </w:pPr>
          </w:p>
        </w:tc>
        <w:tc>
          <w:tcPr>
            <w:tcW w:w="1135" w:type="dxa"/>
            <w:vMerge w:val="restart"/>
            <w:tcBorders>
              <w:left w:val="single" w:sz="4" w:space="0" w:color="auto"/>
              <w:right w:val="single" w:sz="4" w:space="0" w:color="000000"/>
            </w:tcBorders>
            <w:shd w:val="clear" w:color="auto" w:fill="auto"/>
            <w:tcMar>
              <w:top w:w="0" w:type="dxa"/>
              <w:left w:w="108" w:type="dxa"/>
              <w:bottom w:w="0" w:type="dxa"/>
              <w:right w:w="108" w:type="dxa"/>
            </w:tcMar>
          </w:tcPr>
          <w:p w:rsidR="005B0071" w:rsidRPr="00BD0D85" w:rsidRDefault="005B0071" w:rsidP="006E24F9">
            <w:pPr>
              <w:widowControl/>
              <w:spacing w:line="320" w:lineRule="exact"/>
              <w:rPr>
                <w:rFonts w:ascii="標楷體" w:eastAsia="標楷體" w:hAnsi="標楷體"/>
                <w:color w:val="000000" w:themeColor="text1"/>
                <w:szCs w:val="24"/>
              </w:rPr>
            </w:pPr>
          </w:p>
          <w:p w:rsidR="005B0071" w:rsidRPr="00BD0D85" w:rsidRDefault="005B0071" w:rsidP="006E24F9">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5B0071" w:rsidRPr="00BD0D85" w:rsidRDefault="005B0071" w:rsidP="006E24F9">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5B0071" w:rsidRPr="00BD0D85" w:rsidRDefault="005B0071" w:rsidP="006E24F9">
            <w:pPr>
              <w:widowControl/>
              <w:spacing w:line="320" w:lineRule="exact"/>
              <w:rPr>
                <w:rFonts w:ascii="Times New Roman" w:eastAsia="標楷體" w:hAnsi="Times New Roman"/>
                <w:color w:val="000000" w:themeColor="text1"/>
                <w:sz w:val="22"/>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p w:rsidR="005B0071" w:rsidRPr="00BD0D85" w:rsidRDefault="005B0071" w:rsidP="006E24F9">
            <w:pPr>
              <w:widowControl/>
              <w:spacing w:line="320" w:lineRule="exact"/>
              <w:rPr>
                <w:rFonts w:ascii="Times New Roman" w:eastAsia="標楷體" w:hAnsi="Times New Roman"/>
                <w:color w:val="000000" w:themeColor="text1"/>
                <w:sz w:val="22"/>
                <w:szCs w:val="24"/>
              </w:rPr>
            </w:pPr>
          </w:p>
          <w:p w:rsidR="005B0071" w:rsidRPr="00BD0D85" w:rsidRDefault="005B0071" w:rsidP="006E24F9">
            <w:pPr>
              <w:widowControl/>
              <w:spacing w:line="320" w:lineRule="exact"/>
              <w:rPr>
                <w:rFonts w:ascii="標楷體" w:eastAsia="標楷體" w:hAnsi="標楷體"/>
                <w:color w:val="000000" w:themeColor="text1"/>
                <w:szCs w:val="24"/>
              </w:rPr>
            </w:pP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071" w:rsidRPr="00BD0D85" w:rsidRDefault="005B0071" w:rsidP="006E24F9">
            <w:pPr>
              <w:spacing w:line="320" w:lineRule="exact"/>
              <w:ind w:left="480" w:hanging="480"/>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一、追蹤差距與追蹤誤差</w:t>
            </w:r>
            <w:r w:rsidRPr="00BD0D85">
              <w:rPr>
                <w:rFonts w:ascii="Times New Roman" w:eastAsia="標楷體" w:hAnsi="Times New Roman" w:hint="eastAsia"/>
                <w:color w:val="000000" w:themeColor="text1"/>
                <w:szCs w:val="24"/>
              </w:rPr>
              <w:t>，及其</w:t>
            </w:r>
            <w:proofErr w:type="gramStart"/>
            <w:r w:rsidRPr="00BD0D85">
              <w:rPr>
                <w:rFonts w:ascii="Times New Roman" w:eastAsia="標楷體" w:hAnsi="Times New Roman"/>
                <w:color w:val="000000" w:themeColor="text1"/>
                <w:szCs w:val="24"/>
              </w:rPr>
              <w:t>內部控</w:t>
            </w:r>
            <w:proofErr w:type="gramEnd"/>
            <w:r w:rsidRPr="00BD0D85">
              <w:rPr>
                <w:rFonts w:ascii="Times New Roman" w:eastAsia="標楷體" w:hAnsi="Times New Roman"/>
                <w:color w:val="000000" w:themeColor="text1"/>
                <w:szCs w:val="24"/>
              </w:rPr>
              <w:t>管標準。</w:t>
            </w:r>
          </w:p>
          <w:p w:rsidR="005B0071" w:rsidRPr="00BD0D85" w:rsidRDefault="005B0071" w:rsidP="00514B9B">
            <w:pPr>
              <w:spacing w:line="320" w:lineRule="exact"/>
              <w:ind w:left="480" w:hanging="480"/>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二、重大差異之衡量標準內容。</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5B0071" w:rsidRPr="00BD0D85" w:rsidRDefault="005B0071">
            <w:pPr>
              <w:widowControl/>
              <w:suppressAutoHyphens w:val="0"/>
              <w:rPr>
                <w:rFonts w:ascii="Times New Roman" w:eastAsia="標楷體" w:hAnsi="Times New Roman"/>
                <w:color w:val="000000" w:themeColor="text1"/>
                <w:szCs w:val="24"/>
              </w:rPr>
            </w:pPr>
          </w:p>
          <w:p w:rsidR="005B0071" w:rsidRPr="00BD0D85" w:rsidRDefault="005B0071" w:rsidP="006E24F9">
            <w:pPr>
              <w:spacing w:line="320" w:lineRule="exact"/>
              <w:ind w:left="480" w:hanging="480"/>
              <w:rPr>
                <w:rFonts w:ascii="Times New Roman" w:eastAsia="標楷體" w:hAnsi="Times New Roman"/>
                <w:color w:val="000000" w:themeColor="text1"/>
                <w:szCs w:val="24"/>
              </w:rPr>
            </w:pPr>
          </w:p>
        </w:tc>
      </w:tr>
      <w:tr w:rsidR="00BD0D85" w:rsidRPr="00BD0D85" w:rsidTr="008246FB">
        <w:trPr>
          <w:trHeight w:val="941"/>
          <w:jc w:val="center"/>
        </w:trPr>
        <w:tc>
          <w:tcPr>
            <w:tcW w:w="2694" w:type="dxa"/>
            <w:vMerge/>
            <w:tcBorders>
              <w:left w:val="single" w:sz="4" w:space="0" w:color="auto"/>
              <w:right w:val="single" w:sz="4" w:space="0" w:color="auto"/>
            </w:tcBorders>
            <w:shd w:val="clear" w:color="auto" w:fill="auto"/>
            <w:tcMar>
              <w:top w:w="0" w:type="dxa"/>
              <w:left w:w="108" w:type="dxa"/>
              <w:bottom w:w="0" w:type="dxa"/>
              <w:right w:w="108" w:type="dxa"/>
            </w:tcMar>
          </w:tcPr>
          <w:p w:rsidR="006E24F9" w:rsidRPr="00BD0D85" w:rsidRDefault="006E24F9" w:rsidP="006E24F9">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highlight w:val="green"/>
              </w:rPr>
            </w:pPr>
          </w:p>
        </w:tc>
        <w:tc>
          <w:tcPr>
            <w:tcW w:w="1135" w:type="dxa"/>
            <w:vMerge/>
            <w:tcBorders>
              <w:left w:val="single" w:sz="4" w:space="0" w:color="auto"/>
              <w:right w:val="single" w:sz="4" w:space="0" w:color="000000"/>
            </w:tcBorders>
            <w:shd w:val="clear" w:color="auto" w:fill="auto"/>
            <w:tcMar>
              <w:top w:w="0" w:type="dxa"/>
              <w:left w:w="108" w:type="dxa"/>
              <w:bottom w:w="0" w:type="dxa"/>
              <w:right w:w="108" w:type="dxa"/>
            </w:tcMar>
          </w:tcPr>
          <w:p w:rsidR="006E24F9" w:rsidRPr="00BD0D85" w:rsidRDefault="006E24F9" w:rsidP="006E24F9">
            <w:pPr>
              <w:widowControl/>
              <w:spacing w:line="320" w:lineRule="exact"/>
              <w:rPr>
                <w:rFonts w:ascii="標楷體" w:eastAsia="標楷體" w:hAnsi="標楷體"/>
                <w:color w:val="000000" w:themeColor="text1"/>
                <w:szCs w:val="24"/>
                <w:highlight w:val="green"/>
              </w:rPr>
            </w:pPr>
          </w:p>
        </w:tc>
        <w:tc>
          <w:tcPr>
            <w:tcW w:w="108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4F9" w:rsidRPr="00BD0D85" w:rsidRDefault="006E24F9" w:rsidP="006E24F9">
            <w:p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6E24F9" w:rsidRPr="00BD0D85" w:rsidRDefault="006E24F9" w:rsidP="006E24F9">
            <w:pPr>
              <w:spacing w:line="320" w:lineRule="exact"/>
              <w:jc w:val="both"/>
              <w:rPr>
                <w:color w:val="000000" w:themeColor="text1"/>
              </w:rPr>
            </w:pPr>
            <w:r w:rsidRPr="00BD0D85">
              <w:rPr>
                <w:rFonts w:ascii="Times New Roman" w:eastAsia="標楷體" w:hAnsi="Times New Roman"/>
                <w:color w:val="000000" w:themeColor="text1"/>
                <w:szCs w:val="24"/>
              </w:rPr>
              <w:t>請說明追蹤差距、追蹤誤差及重大差異之訂定依據。</w:t>
            </w:r>
          </w:p>
        </w:tc>
      </w:tr>
      <w:tr w:rsidR="00BD0D85" w:rsidRPr="00BD0D85" w:rsidTr="00E73C95">
        <w:trPr>
          <w:trHeight w:val="624"/>
          <w:jc w:val="center"/>
        </w:trPr>
        <w:tc>
          <w:tcPr>
            <w:tcW w:w="269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24F9" w:rsidRPr="00BD0D85" w:rsidRDefault="006E24F9" w:rsidP="0019120C">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highlight w:val="green"/>
              </w:rPr>
            </w:pPr>
          </w:p>
        </w:tc>
        <w:tc>
          <w:tcPr>
            <w:tcW w:w="1135"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6E24F9" w:rsidRPr="00BD0D85" w:rsidRDefault="006E24F9" w:rsidP="0019120C">
            <w:pPr>
              <w:widowControl/>
              <w:spacing w:line="320" w:lineRule="exact"/>
              <w:rPr>
                <w:rFonts w:ascii="標楷體" w:eastAsia="標楷體" w:hAnsi="標楷體"/>
                <w:color w:val="000000" w:themeColor="text1"/>
                <w:szCs w:val="24"/>
                <w:highlight w:val="green"/>
              </w:rPr>
            </w:pPr>
          </w:p>
        </w:tc>
        <w:tc>
          <w:tcPr>
            <w:tcW w:w="108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4F9" w:rsidRPr="00BD0D85" w:rsidRDefault="006E24F9" w:rsidP="00E73C95">
            <w:pPr>
              <w:widowControl/>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r w:rsidR="00BD0D85" w:rsidRPr="00BD0D85" w:rsidTr="000330CE">
        <w:trPr>
          <w:trHeight w:val="1380"/>
          <w:jc w:val="center"/>
        </w:trPr>
        <w:tc>
          <w:tcPr>
            <w:tcW w:w="2694" w:type="dxa"/>
            <w:vMerge w:val="restart"/>
            <w:tcBorders>
              <w:left w:val="single" w:sz="4" w:space="0" w:color="auto"/>
              <w:right w:val="single" w:sz="4" w:space="0" w:color="auto"/>
            </w:tcBorders>
            <w:shd w:val="clear" w:color="auto" w:fill="auto"/>
            <w:tcMar>
              <w:top w:w="0" w:type="dxa"/>
              <w:left w:w="108" w:type="dxa"/>
              <w:bottom w:w="0" w:type="dxa"/>
              <w:right w:w="108" w:type="dxa"/>
            </w:tcMar>
          </w:tcPr>
          <w:p w:rsidR="00955B2E" w:rsidRPr="00BD0D85" w:rsidRDefault="00992F35" w:rsidP="00416314">
            <w:pPr>
              <w:widowControl/>
              <w:spacing w:line="320" w:lineRule="exact"/>
              <w:ind w:leftChars="-3" w:left="497" w:hangingChars="210" w:hanging="504"/>
              <w:jc w:val="both"/>
              <w:rPr>
                <w:rFonts w:ascii="Times New Roman" w:eastAsia="標楷體" w:hAnsi="Times New Roman"/>
                <w:b/>
                <w:color w:val="000000" w:themeColor="text1"/>
                <w:szCs w:val="24"/>
              </w:rPr>
            </w:pPr>
            <w:r w:rsidRPr="00BD0D85">
              <w:rPr>
                <w:rFonts w:ascii="Times New Roman" w:eastAsia="標楷體" w:hAnsi="Times New Roman" w:hint="eastAsia"/>
                <w:color w:val="000000" w:themeColor="text1"/>
                <w:szCs w:val="24"/>
              </w:rPr>
              <w:lastRenderedPageBreak/>
              <w:t>三、</w:t>
            </w:r>
            <w:r w:rsidR="005B0071" w:rsidRPr="00BD0D85">
              <w:rPr>
                <w:rFonts w:ascii="Times New Roman" w:eastAsia="標楷體" w:hAnsi="Times New Roman" w:hint="eastAsia"/>
                <w:b/>
                <w:color w:val="000000" w:themeColor="text1"/>
                <w:szCs w:val="24"/>
              </w:rPr>
              <w:t>指數型基金</w:t>
            </w:r>
            <w:r w:rsidR="00955B2E" w:rsidRPr="00BD0D85">
              <w:rPr>
                <w:rFonts w:ascii="Times New Roman" w:eastAsia="標楷體" w:hAnsi="Times New Roman" w:hint="eastAsia"/>
                <w:b/>
                <w:color w:val="000000" w:themeColor="text1"/>
                <w:szCs w:val="24"/>
              </w:rPr>
              <w:t>之應說明事項是否明定於信託契約或載明於公開說明書。</w:t>
            </w:r>
          </w:p>
          <w:p w:rsidR="004C2E8F" w:rsidRPr="00BD0D85" w:rsidRDefault="004C2E8F" w:rsidP="00416314">
            <w:pPr>
              <w:widowControl/>
              <w:spacing w:line="320" w:lineRule="exact"/>
              <w:ind w:leftChars="-3" w:left="497" w:hangingChars="210" w:hanging="504"/>
              <w:jc w:val="both"/>
              <w:rPr>
                <w:rFonts w:ascii="Times New Roman" w:eastAsia="標楷體" w:hAnsi="Times New Roman"/>
                <w:b/>
                <w:color w:val="000000" w:themeColor="text1"/>
                <w:szCs w:val="24"/>
              </w:rPr>
            </w:pPr>
          </w:p>
        </w:tc>
        <w:tc>
          <w:tcPr>
            <w:tcW w:w="1135" w:type="dxa"/>
            <w:vMerge w:val="restart"/>
            <w:tcBorders>
              <w:left w:val="single" w:sz="4" w:space="0" w:color="auto"/>
              <w:right w:val="single" w:sz="4" w:space="0" w:color="000000"/>
            </w:tcBorders>
            <w:shd w:val="clear" w:color="auto" w:fill="auto"/>
            <w:tcMar>
              <w:top w:w="0" w:type="dxa"/>
              <w:left w:w="108" w:type="dxa"/>
              <w:bottom w:w="0" w:type="dxa"/>
              <w:right w:w="108" w:type="dxa"/>
            </w:tcMar>
          </w:tcPr>
          <w:p w:rsidR="005B0071" w:rsidRPr="00BD0D85" w:rsidRDefault="005B0071" w:rsidP="00FA0518">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5B0071" w:rsidRPr="00BD0D85" w:rsidRDefault="005B0071" w:rsidP="00FA0518">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5B0071" w:rsidRPr="00BD0D85" w:rsidRDefault="005B0071" w:rsidP="00FA0518">
            <w:pPr>
              <w:widowControl/>
              <w:spacing w:line="320" w:lineRule="exact"/>
              <w:rPr>
                <w:rFonts w:ascii="標楷體" w:eastAsia="標楷體" w:hAnsi="標楷體"/>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072" w:rsidRPr="00BD0D85" w:rsidRDefault="005B0071" w:rsidP="006D7521">
            <w:pPr>
              <w:pStyle w:val="a7"/>
              <w:numPr>
                <w:ilvl w:val="0"/>
                <w:numId w:val="1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信託契約之通知及公告條文</w:t>
            </w:r>
            <w:r w:rsidR="006D7521" w:rsidRPr="00BD0D85">
              <w:rPr>
                <w:rFonts w:ascii="Times New Roman" w:eastAsia="標楷體" w:hAnsi="Times New Roman" w:hint="eastAsia"/>
                <w:color w:val="000000" w:themeColor="text1"/>
                <w:szCs w:val="24"/>
              </w:rPr>
              <w:t>，及公開說明書基金之資訊揭露</w:t>
            </w:r>
            <w:r w:rsidR="00362905" w:rsidRPr="00BD0D85">
              <w:rPr>
                <w:rFonts w:ascii="Times New Roman" w:eastAsia="標楷體" w:hAnsi="Times New Roman" w:hint="eastAsia"/>
                <w:color w:val="000000" w:themeColor="text1"/>
                <w:szCs w:val="24"/>
              </w:rPr>
              <w:t>是否</w:t>
            </w:r>
            <w:r w:rsidR="00EC2D66" w:rsidRPr="00BD0D85">
              <w:rPr>
                <w:rFonts w:ascii="Times New Roman" w:eastAsia="標楷體" w:hAnsi="Times New Roman" w:hint="eastAsia"/>
                <w:color w:val="000000" w:themeColor="text1"/>
                <w:szCs w:val="24"/>
              </w:rPr>
              <w:t>載明</w:t>
            </w:r>
            <w:r w:rsidR="00A13072" w:rsidRPr="00BD0D85">
              <w:rPr>
                <w:rFonts w:ascii="Times New Roman" w:eastAsia="標楷體" w:hAnsi="Times New Roman" w:hint="eastAsia"/>
                <w:color w:val="000000" w:themeColor="text1"/>
                <w:szCs w:val="24"/>
              </w:rPr>
              <w:t>：</w:t>
            </w:r>
          </w:p>
          <w:p w:rsidR="005B0071" w:rsidRPr="00BD0D85" w:rsidRDefault="006D7521" w:rsidP="00A13072">
            <w:pPr>
              <w:pStyle w:val="a7"/>
              <w:numPr>
                <w:ilvl w:val="1"/>
                <w:numId w:val="33"/>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標的指數發生重大事項，對受益人有重大影響之項目。</w:t>
            </w:r>
          </w:p>
          <w:p w:rsidR="00A13072" w:rsidRPr="00BD0D85" w:rsidRDefault="00A13072" w:rsidP="00A13072">
            <w:pPr>
              <w:pStyle w:val="a7"/>
              <w:numPr>
                <w:ilvl w:val="1"/>
                <w:numId w:val="33"/>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成分證券檔數或期貨交易</w:t>
            </w:r>
            <w:proofErr w:type="gramStart"/>
            <w:r w:rsidRPr="00BD0D85">
              <w:rPr>
                <w:rFonts w:ascii="Times New Roman" w:eastAsia="標楷體" w:hAnsi="Times New Roman" w:hint="eastAsia"/>
                <w:color w:val="000000" w:themeColor="text1"/>
                <w:szCs w:val="24"/>
              </w:rPr>
              <w:t>部位曝險比率</w:t>
            </w:r>
            <w:proofErr w:type="gramEnd"/>
            <w:r w:rsidRPr="00BD0D85">
              <w:rPr>
                <w:rFonts w:ascii="Times New Roman" w:eastAsia="標楷體" w:hAnsi="Times New Roman" w:hint="eastAsia"/>
                <w:color w:val="000000" w:themeColor="text1"/>
                <w:szCs w:val="24"/>
              </w:rPr>
              <w:t>與所追蹤標的指數編製成分證券檔數</w:t>
            </w:r>
            <w:proofErr w:type="gramStart"/>
            <w:r w:rsidRPr="00BD0D85">
              <w:rPr>
                <w:rFonts w:ascii="Times New Roman" w:eastAsia="標楷體" w:hAnsi="Times New Roman" w:hint="eastAsia"/>
                <w:color w:val="000000" w:themeColor="text1"/>
                <w:szCs w:val="24"/>
              </w:rPr>
              <w:t>或曝險</w:t>
            </w:r>
            <w:proofErr w:type="gramEnd"/>
            <w:r w:rsidRPr="00BD0D85">
              <w:rPr>
                <w:rFonts w:ascii="Times New Roman" w:eastAsia="標楷體" w:hAnsi="Times New Roman" w:hint="eastAsia"/>
                <w:color w:val="000000" w:themeColor="text1"/>
                <w:szCs w:val="24"/>
              </w:rPr>
              <w:t>比率有重大差異者。</w:t>
            </w:r>
          </w:p>
          <w:p w:rsidR="00A13072" w:rsidRPr="00BD0D85" w:rsidRDefault="00A13072" w:rsidP="00A13072">
            <w:pPr>
              <w:pStyle w:val="a7"/>
              <w:numPr>
                <w:ilvl w:val="1"/>
                <w:numId w:val="33"/>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成分證券及期貨交易部位之調整，導致基金績效與標的指數表現之追蹤差距</w:t>
            </w:r>
            <w:r w:rsidRPr="00BD0D85">
              <w:rPr>
                <w:rFonts w:ascii="Times New Roman" w:eastAsia="標楷體" w:hAnsi="Times New Roman" w:hint="eastAsia"/>
                <w:color w:val="000000" w:themeColor="text1"/>
                <w:szCs w:val="24"/>
              </w:rPr>
              <w:t>(Tracking Difference)</w:t>
            </w:r>
            <w:r w:rsidRPr="00BD0D85">
              <w:rPr>
                <w:rFonts w:ascii="Times New Roman" w:eastAsia="標楷體" w:hAnsi="Times New Roman" w:hint="eastAsia"/>
                <w:color w:val="000000" w:themeColor="text1"/>
                <w:szCs w:val="24"/>
              </w:rPr>
              <w:t>有重大差異者。</w:t>
            </w:r>
          </w:p>
          <w:p w:rsidR="00BD0044" w:rsidRPr="00BD0D85" w:rsidRDefault="006D7521" w:rsidP="00264BA8">
            <w:pPr>
              <w:pStyle w:val="a7"/>
              <w:numPr>
                <w:ilvl w:val="0"/>
                <w:numId w:val="1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公開說明書</w:t>
            </w:r>
            <w:r w:rsidR="005B0071" w:rsidRPr="00BD0D85">
              <w:rPr>
                <w:rFonts w:ascii="Times New Roman" w:eastAsia="標楷體" w:hAnsi="Times New Roman" w:hint="eastAsia"/>
                <w:color w:val="000000" w:themeColor="text1"/>
                <w:szCs w:val="24"/>
              </w:rPr>
              <w:t>基金之資訊揭露</w:t>
            </w:r>
            <w:r w:rsidR="00BD0044" w:rsidRPr="00BD0D85">
              <w:rPr>
                <w:rFonts w:ascii="Times New Roman" w:eastAsia="標楷體" w:hAnsi="Times New Roman" w:hint="eastAsia"/>
                <w:color w:val="000000" w:themeColor="text1"/>
                <w:szCs w:val="24"/>
              </w:rPr>
              <w:t>：</w:t>
            </w:r>
          </w:p>
          <w:p w:rsidR="005B0071" w:rsidRPr="00BD0D85" w:rsidRDefault="006D7521" w:rsidP="00BD0044">
            <w:pPr>
              <w:pStyle w:val="a7"/>
              <w:numPr>
                <w:ilvl w:val="1"/>
                <w:numId w:val="34"/>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是否</w:t>
            </w:r>
            <w:r w:rsidR="00513D91" w:rsidRPr="00BD0D85">
              <w:rPr>
                <w:rFonts w:ascii="Times New Roman" w:eastAsia="標楷體" w:hAnsi="Times New Roman" w:hint="eastAsia"/>
                <w:color w:val="000000" w:themeColor="text1"/>
                <w:szCs w:val="24"/>
              </w:rPr>
              <w:t>以</w:t>
            </w:r>
            <w:proofErr w:type="gramStart"/>
            <w:r w:rsidR="00513D91" w:rsidRPr="00BD0D85">
              <w:rPr>
                <w:rFonts w:ascii="Times New Roman" w:eastAsia="標楷體" w:hAnsi="Times New Roman" w:hint="eastAsia"/>
                <w:color w:val="000000" w:themeColor="text1"/>
                <w:szCs w:val="24"/>
              </w:rPr>
              <w:t>例釋說明</w:t>
            </w:r>
            <w:proofErr w:type="gramEnd"/>
            <w:r w:rsidR="00513D91" w:rsidRPr="00BD0D85">
              <w:rPr>
                <w:rFonts w:ascii="Times New Roman" w:eastAsia="標楷體" w:hAnsi="Times New Roman" w:hint="eastAsia"/>
                <w:color w:val="000000" w:themeColor="text1"/>
                <w:szCs w:val="24"/>
              </w:rPr>
              <w:t>「重大事項」之範疇</w:t>
            </w:r>
            <w:r w:rsidR="00BD0044" w:rsidRPr="00BD0D85">
              <w:rPr>
                <w:rFonts w:ascii="Times New Roman" w:eastAsia="標楷體" w:hAnsi="Times New Roman" w:hint="eastAsia"/>
                <w:color w:val="000000" w:themeColor="text1"/>
                <w:szCs w:val="24"/>
              </w:rPr>
              <w:t>。</w:t>
            </w:r>
          </w:p>
          <w:p w:rsidR="00513D91" w:rsidRPr="00BD0D85" w:rsidRDefault="00513D91" w:rsidP="00A13072">
            <w:pPr>
              <w:pStyle w:val="a7"/>
              <w:numPr>
                <w:ilvl w:val="1"/>
                <w:numId w:val="34"/>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指數型基金成分證券檔數或期貨交易</w:t>
            </w:r>
            <w:proofErr w:type="gramStart"/>
            <w:r w:rsidRPr="00BD0D85">
              <w:rPr>
                <w:rFonts w:ascii="Times New Roman" w:eastAsia="標楷體" w:hAnsi="Times New Roman" w:hint="eastAsia"/>
                <w:color w:val="000000" w:themeColor="text1"/>
                <w:szCs w:val="24"/>
              </w:rPr>
              <w:t>部位曝險比率</w:t>
            </w:r>
            <w:proofErr w:type="gramEnd"/>
            <w:r w:rsidRPr="00BD0D85">
              <w:rPr>
                <w:rFonts w:ascii="Times New Roman" w:eastAsia="標楷體" w:hAnsi="Times New Roman" w:hint="eastAsia"/>
                <w:color w:val="000000" w:themeColor="text1"/>
                <w:szCs w:val="24"/>
              </w:rPr>
              <w:t>與所追蹤標的指數編製成分證券檔數</w:t>
            </w:r>
            <w:proofErr w:type="gramStart"/>
            <w:r w:rsidRPr="00BD0D85">
              <w:rPr>
                <w:rFonts w:ascii="Times New Roman" w:eastAsia="標楷體" w:hAnsi="Times New Roman" w:hint="eastAsia"/>
                <w:color w:val="000000" w:themeColor="text1"/>
                <w:szCs w:val="24"/>
              </w:rPr>
              <w:t>或曝險</w:t>
            </w:r>
            <w:proofErr w:type="gramEnd"/>
            <w:r w:rsidRPr="00BD0D85">
              <w:rPr>
                <w:rFonts w:ascii="Times New Roman" w:eastAsia="標楷體" w:hAnsi="Times New Roman" w:hint="eastAsia"/>
                <w:color w:val="000000" w:themeColor="text1"/>
                <w:szCs w:val="24"/>
              </w:rPr>
              <w:t>比率有重大差異者</w:t>
            </w:r>
            <w:r w:rsidR="00BD0044" w:rsidRPr="00BD0D85">
              <w:rPr>
                <w:rFonts w:ascii="Times New Roman" w:eastAsia="標楷體" w:hAnsi="Times New Roman" w:hint="eastAsia"/>
                <w:color w:val="000000" w:themeColor="text1"/>
                <w:szCs w:val="24"/>
              </w:rPr>
              <w:t>，應明訂衡量標準。</w:t>
            </w:r>
          </w:p>
          <w:p w:rsidR="00513D91" w:rsidRPr="00BD0D85" w:rsidRDefault="00513D91" w:rsidP="00A13072">
            <w:pPr>
              <w:pStyle w:val="a7"/>
              <w:numPr>
                <w:ilvl w:val="1"/>
                <w:numId w:val="34"/>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指數型基金成分證券及期貨交易部位之調整，導致基金績效與標的指數表現之追蹤差距</w:t>
            </w:r>
            <w:r w:rsidRPr="00BD0D85">
              <w:rPr>
                <w:rFonts w:ascii="Times New Roman" w:eastAsia="標楷體" w:hAnsi="Times New Roman" w:hint="eastAsia"/>
                <w:color w:val="000000" w:themeColor="text1"/>
                <w:szCs w:val="24"/>
              </w:rPr>
              <w:t>(Tracking Difference)</w:t>
            </w:r>
            <w:r w:rsidRPr="00BD0D85">
              <w:rPr>
                <w:rFonts w:ascii="Times New Roman" w:eastAsia="標楷體" w:hAnsi="Times New Roman" w:hint="eastAsia"/>
                <w:color w:val="000000" w:themeColor="text1"/>
                <w:szCs w:val="24"/>
              </w:rPr>
              <w:t>有重大差異者</w:t>
            </w:r>
            <w:r w:rsidR="00BD0044" w:rsidRPr="00BD0D85">
              <w:rPr>
                <w:rFonts w:ascii="Times New Roman" w:eastAsia="標楷體" w:hAnsi="Times New Roman" w:hint="eastAsia"/>
                <w:color w:val="000000" w:themeColor="text1"/>
                <w:szCs w:val="24"/>
              </w:rPr>
              <w:t>，應明訂衡量標準。</w:t>
            </w:r>
          </w:p>
          <w:p w:rsidR="00456B0C" w:rsidRPr="00BD0D85" w:rsidRDefault="00456B0C" w:rsidP="006D0019">
            <w:pPr>
              <w:pStyle w:val="a7"/>
              <w:numPr>
                <w:ilvl w:val="0"/>
                <w:numId w:val="1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是否向投資人收取申購</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買回費，如有請說明相關配套措施：</w:t>
            </w:r>
          </w:p>
          <w:p w:rsidR="006D0019" w:rsidRPr="00BD0D85" w:rsidRDefault="00090FB0" w:rsidP="00456B0C">
            <w:pPr>
              <w:pStyle w:val="a7"/>
              <w:numPr>
                <w:ilvl w:val="1"/>
                <w:numId w:val="46"/>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向投資人收取之申購</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買回</w:t>
            </w:r>
            <w:r w:rsidR="00456B0C" w:rsidRPr="00BD0D85">
              <w:rPr>
                <w:rFonts w:ascii="Times New Roman" w:eastAsia="標楷體" w:hAnsi="Times New Roman" w:hint="eastAsia"/>
                <w:color w:val="000000" w:themeColor="text1"/>
                <w:szCs w:val="24"/>
              </w:rPr>
              <w:t>費用</w:t>
            </w:r>
            <w:r w:rsidRPr="00BD0D85">
              <w:rPr>
                <w:rFonts w:ascii="Times New Roman" w:eastAsia="標楷體" w:hAnsi="Times New Roman" w:hint="eastAsia"/>
                <w:color w:val="000000" w:themeColor="text1"/>
                <w:szCs w:val="24"/>
              </w:rPr>
              <w:t>，</w:t>
            </w:r>
            <w:r w:rsidR="00456B0C" w:rsidRPr="00BD0D85">
              <w:rPr>
                <w:rFonts w:ascii="Times New Roman" w:eastAsia="標楷體" w:hAnsi="Times New Roman" w:hint="eastAsia"/>
                <w:color w:val="000000" w:themeColor="text1"/>
                <w:szCs w:val="24"/>
              </w:rPr>
              <w:t>是否歸入基金資產。</w:t>
            </w:r>
          </w:p>
          <w:p w:rsidR="00456B0C" w:rsidRPr="00BD0D85" w:rsidRDefault="00456B0C" w:rsidP="00456B0C">
            <w:pPr>
              <w:pStyle w:val="a7"/>
              <w:numPr>
                <w:ilvl w:val="1"/>
                <w:numId w:val="46"/>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請說明是否經審慎評估實際交易成本後明定</w:t>
            </w:r>
            <w:r w:rsidR="00090FB0" w:rsidRPr="00BD0D85">
              <w:rPr>
                <w:rFonts w:ascii="Times New Roman" w:eastAsia="標楷體" w:hAnsi="Times New Roman" w:hint="eastAsia"/>
                <w:color w:val="000000" w:themeColor="text1"/>
                <w:szCs w:val="24"/>
              </w:rPr>
              <w:t>申購</w:t>
            </w:r>
            <w:r w:rsidR="00090FB0" w:rsidRPr="00BD0D85">
              <w:rPr>
                <w:rFonts w:ascii="Times New Roman" w:eastAsia="標楷體" w:hAnsi="Times New Roman" w:hint="eastAsia"/>
                <w:color w:val="000000" w:themeColor="text1"/>
                <w:szCs w:val="24"/>
              </w:rPr>
              <w:t>/</w:t>
            </w:r>
            <w:r w:rsidR="00090FB0" w:rsidRPr="00BD0D85">
              <w:rPr>
                <w:rFonts w:ascii="Times New Roman" w:eastAsia="標楷體" w:hAnsi="Times New Roman" w:hint="eastAsia"/>
                <w:color w:val="000000" w:themeColor="text1"/>
                <w:szCs w:val="24"/>
              </w:rPr>
              <w:t>買回費率。</w:t>
            </w:r>
          </w:p>
          <w:p w:rsidR="00FB749C" w:rsidRPr="00BD0D85" w:rsidRDefault="00FB749C" w:rsidP="00456B0C">
            <w:pPr>
              <w:pStyle w:val="a7"/>
              <w:numPr>
                <w:ilvl w:val="1"/>
                <w:numId w:val="46"/>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申購</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買回費用是否充分揭露於公開說明書。</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5B0071" w:rsidRPr="00BD0D85" w:rsidRDefault="005B0071">
            <w:pPr>
              <w:widowControl/>
              <w:suppressAutoHyphens w:val="0"/>
              <w:rPr>
                <w:rFonts w:ascii="Times New Roman" w:eastAsia="標楷體" w:hAnsi="Times New Roman"/>
                <w:color w:val="000000" w:themeColor="text1"/>
                <w:szCs w:val="24"/>
              </w:rPr>
            </w:pPr>
          </w:p>
          <w:p w:rsidR="005B0071" w:rsidRPr="00BD0D85" w:rsidRDefault="005B0071" w:rsidP="00CD53D5">
            <w:pPr>
              <w:widowControl/>
              <w:spacing w:line="320" w:lineRule="exact"/>
              <w:rPr>
                <w:rFonts w:ascii="Times New Roman" w:eastAsia="標楷體" w:hAnsi="Times New Roman"/>
                <w:color w:val="000000" w:themeColor="text1"/>
                <w:szCs w:val="24"/>
              </w:rPr>
            </w:pPr>
          </w:p>
        </w:tc>
      </w:tr>
      <w:tr w:rsidR="00BD0D85" w:rsidRPr="00BD0D85" w:rsidTr="00BB7F0F">
        <w:trPr>
          <w:trHeight w:val="454"/>
          <w:jc w:val="center"/>
        </w:trPr>
        <w:tc>
          <w:tcPr>
            <w:tcW w:w="2694" w:type="dxa"/>
            <w:vMerge/>
            <w:tcBorders>
              <w:left w:val="single" w:sz="4" w:space="0" w:color="auto"/>
              <w:right w:val="single" w:sz="4" w:space="0" w:color="auto"/>
            </w:tcBorders>
            <w:shd w:val="clear" w:color="auto" w:fill="auto"/>
            <w:tcMar>
              <w:top w:w="0" w:type="dxa"/>
              <w:left w:w="108" w:type="dxa"/>
              <w:bottom w:w="0" w:type="dxa"/>
              <w:right w:w="108" w:type="dxa"/>
            </w:tcMar>
          </w:tcPr>
          <w:p w:rsidR="00FA0518" w:rsidRPr="00BD0D85" w:rsidRDefault="00FA0518" w:rsidP="0019120C">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rPr>
            </w:pPr>
          </w:p>
        </w:tc>
        <w:tc>
          <w:tcPr>
            <w:tcW w:w="1135" w:type="dxa"/>
            <w:vMerge/>
            <w:tcBorders>
              <w:left w:val="single" w:sz="4" w:space="0" w:color="auto"/>
              <w:right w:val="single" w:sz="4" w:space="0" w:color="000000"/>
            </w:tcBorders>
            <w:shd w:val="clear" w:color="auto" w:fill="auto"/>
            <w:tcMar>
              <w:top w:w="0" w:type="dxa"/>
              <w:left w:w="108" w:type="dxa"/>
              <w:bottom w:w="0" w:type="dxa"/>
              <w:right w:w="108" w:type="dxa"/>
            </w:tcMar>
          </w:tcPr>
          <w:p w:rsidR="00FA0518" w:rsidRPr="00BD0D85" w:rsidRDefault="00FA0518" w:rsidP="0019120C">
            <w:pPr>
              <w:widowControl/>
              <w:spacing w:line="320" w:lineRule="exact"/>
              <w:rPr>
                <w:rFonts w:ascii="標楷體" w:eastAsia="標楷體" w:hAnsi="標楷體"/>
                <w:color w:val="000000" w:themeColor="text1"/>
                <w:szCs w:val="24"/>
              </w:rPr>
            </w:pPr>
          </w:p>
        </w:tc>
        <w:tc>
          <w:tcPr>
            <w:tcW w:w="108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518" w:rsidRPr="00BD0D85" w:rsidRDefault="00FA0518" w:rsidP="006E24F9">
            <w:pPr>
              <w:widowControl/>
              <w:spacing w:line="320" w:lineRule="exact"/>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tc>
      </w:tr>
      <w:tr w:rsidR="00BD0D85" w:rsidRPr="00BD0D85" w:rsidTr="00BB7F0F">
        <w:trPr>
          <w:trHeight w:val="454"/>
          <w:jc w:val="center"/>
        </w:trPr>
        <w:tc>
          <w:tcPr>
            <w:tcW w:w="269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0518" w:rsidRPr="00BD0D85" w:rsidRDefault="00FA0518" w:rsidP="0019120C">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rPr>
            </w:pPr>
          </w:p>
        </w:tc>
        <w:tc>
          <w:tcPr>
            <w:tcW w:w="1135"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FA0518" w:rsidRPr="00BD0D85" w:rsidRDefault="00FA0518" w:rsidP="0019120C">
            <w:pPr>
              <w:widowControl/>
              <w:spacing w:line="320" w:lineRule="exact"/>
              <w:rPr>
                <w:rFonts w:ascii="標楷體" w:eastAsia="標楷體" w:hAnsi="標楷體"/>
                <w:color w:val="000000" w:themeColor="text1"/>
                <w:szCs w:val="24"/>
              </w:rPr>
            </w:pPr>
          </w:p>
        </w:tc>
        <w:tc>
          <w:tcPr>
            <w:tcW w:w="108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518" w:rsidRPr="00BD0D85" w:rsidRDefault="00FA0518" w:rsidP="000C2232">
            <w:pPr>
              <w:widowControl/>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bl>
    <w:p w:rsidR="00992F35" w:rsidRPr="00BD0D85" w:rsidRDefault="00992F35">
      <w:pPr>
        <w:widowControl/>
        <w:suppressAutoHyphens w:val="0"/>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br w:type="page"/>
      </w:r>
    </w:p>
    <w:p w:rsidR="00992F35" w:rsidRPr="00BD0D85" w:rsidRDefault="00992F35" w:rsidP="006E23A3">
      <w:pPr>
        <w:pStyle w:val="1"/>
        <w:spacing w:before="0" w:after="0" w:line="240" w:lineRule="auto"/>
        <w:rPr>
          <w:rFonts w:ascii="標楷體" w:eastAsia="標楷體" w:hAnsi="標楷體"/>
          <w:color w:val="000000" w:themeColor="text1"/>
          <w:sz w:val="28"/>
          <w:szCs w:val="28"/>
        </w:rPr>
      </w:pPr>
      <w:bookmarkStart w:id="10" w:name="_玖、保本型基金應說明事項"/>
      <w:bookmarkEnd w:id="10"/>
      <w:r w:rsidRPr="00BD0D85">
        <w:rPr>
          <w:rFonts w:ascii="標楷體" w:eastAsia="標楷體" w:hAnsi="標楷體" w:hint="eastAsia"/>
          <w:color w:val="000000" w:themeColor="text1"/>
          <w:sz w:val="28"/>
          <w:szCs w:val="28"/>
        </w:rPr>
        <w:lastRenderedPageBreak/>
        <w:t>玖、保本型</w:t>
      </w:r>
      <w:r w:rsidRPr="00BD0D85">
        <w:rPr>
          <w:rFonts w:ascii="標楷體" w:eastAsia="標楷體" w:hAnsi="標楷體"/>
          <w:color w:val="000000" w:themeColor="text1"/>
          <w:sz w:val="28"/>
          <w:szCs w:val="28"/>
        </w:rPr>
        <w:t>基金</w:t>
      </w:r>
      <w:r w:rsidRPr="00BD0D85">
        <w:rPr>
          <w:rFonts w:ascii="標楷體" w:eastAsia="標楷體" w:hAnsi="標楷體" w:hint="eastAsia"/>
          <w:color w:val="000000" w:themeColor="text1"/>
          <w:sz w:val="28"/>
          <w:szCs w:val="28"/>
        </w:rPr>
        <w:t>應說明事項</w:t>
      </w:r>
    </w:p>
    <w:tbl>
      <w:tblPr>
        <w:tblW w:w="5270" w:type="pct"/>
        <w:jc w:val="center"/>
        <w:tblCellMar>
          <w:left w:w="10" w:type="dxa"/>
          <w:right w:w="10" w:type="dxa"/>
        </w:tblCellMar>
        <w:tblLook w:val="04A0" w:firstRow="1" w:lastRow="0" w:firstColumn="1" w:lastColumn="0" w:noHBand="0" w:noVBand="1"/>
      </w:tblPr>
      <w:tblGrid>
        <w:gridCol w:w="2694"/>
        <w:gridCol w:w="1135"/>
        <w:gridCol w:w="8926"/>
        <w:gridCol w:w="1946"/>
      </w:tblGrid>
      <w:tr w:rsidR="00BD0D85" w:rsidRPr="00BD0D85" w:rsidTr="008C3DD6">
        <w:trPr>
          <w:trHeight w:val="567"/>
          <w:tblHeader/>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92F35" w:rsidRPr="00BD0D85" w:rsidRDefault="00992F35" w:rsidP="00992F35">
            <w:pPr>
              <w:spacing w:line="320" w:lineRule="exact"/>
              <w:jc w:val="center"/>
              <w:rPr>
                <w:rFonts w:ascii="Times New Roman" w:eastAsia="標楷體" w:hAnsi="Times New Roman"/>
                <w:b/>
                <w:color w:val="000000" w:themeColor="text1"/>
                <w:sz w:val="28"/>
                <w:szCs w:val="28"/>
              </w:rPr>
            </w:pPr>
            <w:r w:rsidRPr="00BD0D85">
              <w:rPr>
                <w:color w:val="000000" w:themeColor="text1"/>
              </w:rPr>
              <w:br w:type="page"/>
            </w:r>
            <w:r w:rsidRPr="00BD0D85">
              <w:rPr>
                <w:rFonts w:ascii="Times New Roman" w:eastAsia="標楷體" w:hAnsi="Times New Roman"/>
                <w:b/>
                <w:color w:val="000000" w:themeColor="text1"/>
                <w:sz w:val="28"/>
                <w:szCs w:val="28"/>
              </w:rPr>
              <w:t>檢查事項</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92F35" w:rsidRPr="00BD0D85" w:rsidRDefault="00992F35" w:rsidP="00992F35">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結論</w:t>
            </w:r>
          </w:p>
        </w:tc>
        <w:tc>
          <w:tcPr>
            <w:tcW w:w="8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92F35" w:rsidRPr="00BD0D85" w:rsidRDefault="00992F35" w:rsidP="00992F35">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hint="eastAsia"/>
                <w:b/>
                <w:color w:val="000000" w:themeColor="text1"/>
                <w:sz w:val="28"/>
                <w:szCs w:val="28"/>
              </w:rPr>
              <w:t>證</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券</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投</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資</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信</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託</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事</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業</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說</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明</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992F35" w:rsidRPr="00BD0D85" w:rsidRDefault="00992F35" w:rsidP="00992F35">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附件索引</w:t>
            </w:r>
          </w:p>
        </w:tc>
      </w:tr>
      <w:tr w:rsidR="00BD0D85" w:rsidRPr="00BD0D85" w:rsidTr="00992F35">
        <w:trPr>
          <w:trHeight w:val="974"/>
          <w:jc w:val="center"/>
        </w:trPr>
        <w:tc>
          <w:tcPr>
            <w:tcW w:w="269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9120C" w:rsidRPr="00BD0D85" w:rsidRDefault="0019120C" w:rsidP="00992F35">
            <w:pPr>
              <w:widowControl/>
              <w:tabs>
                <w:tab w:val="left" w:pos="457"/>
              </w:tabs>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保本型基金之應說明事項是否完整。</w:t>
            </w:r>
          </w:p>
        </w:tc>
        <w:tc>
          <w:tcPr>
            <w:tcW w:w="1135"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rsidR="0019120C" w:rsidRPr="00BD0D85" w:rsidRDefault="0019120C" w:rsidP="0019120C">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19120C" w:rsidRPr="00BD0D85" w:rsidRDefault="0019120C" w:rsidP="0019120C">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19120C" w:rsidRPr="00BD0D85" w:rsidRDefault="0019120C" w:rsidP="0019120C">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20C" w:rsidRPr="00BD0D85" w:rsidRDefault="00012FFC" w:rsidP="00CC5FDF">
            <w:pPr>
              <w:pStyle w:val="a7"/>
              <w:widowControl/>
              <w:numPr>
                <w:ilvl w:val="0"/>
                <w:numId w:val="15"/>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本</w:t>
            </w:r>
            <w:r w:rsidR="004D59DA" w:rsidRPr="00BD0D85">
              <w:rPr>
                <w:rFonts w:ascii="Times New Roman" w:eastAsia="標楷體" w:hAnsi="Times New Roman" w:hint="eastAsia"/>
                <w:color w:val="000000" w:themeColor="text1"/>
                <w:szCs w:val="24"/>
              </w:rPr>
              <w:t>基金屬</w:t>
            </w:r>
            <w:r w:rsidRPr="00BD0D85">
              <w:rPr>
                <w:rFonts w:ascii="標楷體" w:eastAsia="標楷體" w:hAnsi="標楷體" w:hint="eastAsia"/>
                <w:color w:val="000000" w:themeColor="text1"/>
                <w:szCs w:val="24"/>
              </w:rPr>
              <w:t>□</w:t>
            </w:r>
            <w:r w:rsidR="00B828D5" w:rsidRPr="00BD0D85">
              <w:rPr>
                <w:rFonts w:ascii="Times New Roman" w:eastAsia="標楷體" w:hAnsi="Times New Roman" w:hint="eastAsia"/>
                <w:color w:val="000000" w:themeColor="text1"/>
                <w:szCs w:val="24"/>
              </w:rPr>
              <w:t>保護型基金；</w:t>
            </w:r>
            <w:r w:rsidRPr="00BD0D85">
              <w:rPr>
                <w:rFonts w:ascii="標楷體" w:eastAsia="標楷體" w:hAnsi="標楷體" w:hint="eastAsia"/>
                <w:color w:val="000000" w:themeColor="text1"/>
                <w:szCs w:val="24"/>
              </w:rPr>
              <w:t>□</w:t>
            </w:r>
            <w:r w:rsidR="004D59DA" w:rsidRPr="00BD0D85">
              <w:rPr>
                <w:rFonts w:ascii="Times New Roman" w:eastAsia="標楷體" w:hAnsi="Times New Roman" w:hint="eastAsia"/>
                <w:color w:val="000000" w:themeColor="text1"/>
                <w:szCs w:val="24"/>
              </w:rPr>
              <w:t>保證型基金。</w:t>
            </w:r>
          </w:p>
          <w:p w:rsidR="00F22D9A" w:rsidRPr="00BD0D85" w:rsidRDefault="00F22D9A" w:rsidP="00CC5FDF">
            <w:pPr>
              <w:pStyle w:val="a7"/>
              <w:widowControl/>
              <w:numPr>
                <w:ilvl w:val="0"/>
                <w:numId w:val="15"/>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保本型基金簡介：</w:t>
            </w:r>
          </w:p>
          <w:p w:rsidR="00603926" w:rsidRPr="00BD0D85" w:rsidRDefault="00F22D9A" w:rsidP="00CC5FDF">
            <w:pPr>
              <w:pStyle w:val="a7"/>
              <w:numPr>
                <w:ilvl w:val="1"/>
                <w:numId w:val="2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w:t>
            </w:r>
            <w:r w:rsidR="00B828D5" w:rsidRPr="00BD0D85">
              <w:rPr>
                <w:rFonts w:ascii="Times New Roman" w:eastAsia="標楷體" w:hAnsi="Times New Roman" w:hint="eastAsia"/>
                <w:color w:val="000000" w:themeColor="text1"/>
                <w:szCs w:val="24"/>
              </w:rPr>
              <w:t>標的</w:t>
            </w:r>
            <w:r w:rsidR="00514B49" w:rsidRPr="00BD0D85">
              <w:rPr>
                <w:rFonts w:ascii="Times New Roman" w:eastAsia="標楷體" w:hAnsi="Times New Roman" w:hint="eastAsia"/>
                <w:color w:val="000000" w:themeColor="text1"/>
                <w:szCs w:val="24"/>
              </w:rPr>
              <w:t>與</w:t>
            </w:r>
            <w:r w:rsidR="00B828D5" w:rsidRPr="00BD0D85">
              <w:rPr>
                <w:rFonts w:ascii="Times New Roman" w:eastAsia="標楷體" w:hAnsi="Times New Roman" w:hint="eastAsia"/>
                <w:color w:val="000000" w:themeColor="text1"/>
                <w:szCs w:val="24"/>
              </w:rPr>
              <w:t>證券相關商品</w:t>
            </w:r>
            <w:r w:rsidR="00DF5A4A" w:rsidRPr="00BD0D85">
              <w:rPr>
                <w:rFonts w:ascii="Times New Roman" w:eastAsia="標楷體" w:hAnsi="Times New Roman" w:hint="eastAsia"/>
                <w:color w:val="000000" w:themeColor="text1"/>
                <w:szCs w:val="24"/>
              </w:rPr>
              <w:t>，及其預估投資比率</w:t>
            </w:r>
          </w:p>
          <w:p w:rsidR="00B828D5" w:rsidRPr="00BD0D85" w:rsidRDefault="00B828D5" w:rsidP="00CC5FDF">
            <w:pPr>
              <w:pStyle w:val="a7"/>
              <w:numPr>
                <w:ilvl w:val="1"/>
                <w:numId w:val="2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投資標的之發行人及證券相關商品之交易對象</w:t>
            </w:r>
          </w:p>
          <w:p w:rsidR="004D59DA" w:rsidRPr="00BD0D85" w:rsidRDefault="004D59DA" w:rsidP="00CC5FDF">
            <w:pPr>
              <w:pStyle w:val="a7"/>
              <w:numPr>
                <w:ilvl w:val="1"/>
                <w:numId w:val="2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保本比率</w:t>
            </w:r>
          </w:p>
          <w:p w:rsidR="00F22D9A" w:rsidRPr="00BD0D85" w:rsidRDefault="00F22D9A" w:rsidP="00CC5FDF">
            <w:pPr>
              <w:pStyle w:val="a7"/>
              <w:numPr>
                <w:ilvl w:val="1"/>
                <w:numId w:val="2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參與率</w:t>
            </w:r>
          </w:p>
          <w:p w:rsidR="00F22D9A" w:rsidRPr="00BD0D85" w:rsidRDefault="00F22D9A" w:rsidP="00CC5FDF">
            <w:pPr>
              <w:pStyle w:val="a7"/>
              <w:numPr>
                <w:ilvl w:val="1"/>
                <w:numId w:val="2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到期結算收益</w:t>
            </w:r>
          </w:p>
          <w:p w:rsidR="00514B49" w:rsidRPr="00BD0D85" w:rsidRDefault="000F77C8" w:rsidP="00107B06">
            <w:pPr>
              <w:pStyle w:val="a7"/>
              <w:numPr>
                <w:ilvl w:val="1"/>
                <w:numId w:val="2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提前買回機制</w:t>
            </w:r>
          </w:p>
        </w:tc>
        <w:tc>
          <w:tcPr>
            <w:tcW w:w="1946" w:type="dxa"/>
            <w:tcBorders>
              <w:top w:val="single" w:sz="4" w:space="0" w:color="auto"/>
              <w:left w:val="single" w:sz="4" w:space="0" w:color="000000"/>
              <w:bottom w:val="single" w:sz="4" w:space="0" w:color="000000"/>
              <w:right w:val="single" w:sz="4" w:space="0" w:color="000000"/>
            </w:tcBorders>
            <w:shd w:val="clear" w:color="auto" w:fill="auto"/>
          </w:tcPr>
          <w:p w:rsidR="0019120C" w:rsidRPr="00BD0D85" w:rsidRDefault="0019120C" w:rsidP="0019120C">
            <w:pPr>
              <w:widowControl/>
              <w:spacing w:line="320" w:lineRule="exact"/>
              <w:rPr>
                <w:rFonts w:ascii="Times New Roman" w:eastAsia="標楷體" w:hAnsi="Times New Roman"/>
                <w:color w:val="000000" w:themeColor="text1"/>
                <w:szCs w:val="24"/>
              </w:rPr>
            </w:pPr>
          </w:p>
        </w:tc>
      </w:tr>
      <w:tr w:rsidR="00BD0D85" w:rsidRPr="00BD0D85" w:rsidTr="001B4DCE">
        <w:trPr>
          <w:trHeight w:val="974"/>
          <w:jc w:val="center"/>
        </w:trPr>
        <w:tc>
          <w:tcPr>
            <w:tcW w:w="2694" w:type="dxa"/>
            <w:vMerge/>
            <w:tcBorders>
              <w:left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rsidP="002A6A7F">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rPr>
            </w:pPr>
          </w:p>
        </w:tc>
        <w:tc>
          <w:tcPr>
            <w:tcW w:w="1135" w:type="dxa"/>
            <w:vMerge/>
            <w:tcBorders>
              <w:left w:val="single" w:sz="4" w:space="0" w:color="auto"/>
              <w:right w:val="single" w:sz="4" w:space="0" w:color="000000"/>
            </w:tcBorders>
            <w:shd w:val="clear" w:color="auto" w:fill="auto"/>
            <w:tcMar>
              <w:top w:w="0" w:type="dxa"/>
              <w:left w:w="108" w:type="dxa"/>
              <w:bottom w:w="0" w:type="dxa"/>
              <w:right w:w="108" w:type="dxa"/>
            </w:tcMar>
          </w:tcPr>
          <w:p w:rsidR="00F2152D" w:rsidRPr="00BD0D85" w:rsidRDefault="00F2152D" w:rsidP="002A6A7F">
            <w:pPr>
              <w:widowControl/>
              <w:spacing w:line="320" w:lineRule="exact"/>
              <w:rPr>
                <w:rFonts w:ascii="標楷體" w:eastAsia="標楷體" w:hAnsi="標楷體"/>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2A6A7F">
            <w:pPr>
              <w:spacing w:line="320" w:lineRule="exact"/>
              <w:ind w:left="480" w:hanging="48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214EE1">
            <w:pPr>
              <w:pStyle w:val="a7"/>
              <w:numPr>
                <w:ilvl w:val="0"/>
                <w:numId w:val="39"/>
              </w:numPr>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請說明保本機制之設計。並</w:t>
            </w:r>
            <w:proofErr w:type="gramStart"/>
            <w:r w:rsidRPr="00BD0D85">
              <w:rPr>
                <w:rFonts w:ascii="Times New Roman" w:eastAsia="標楷體" w:hAnsi="Times New Roman" w:hint="eastAsia"/>
                <w:color w:val="000000" w:themeColor="text1"/>
                <w:szCs w:val="24"/>
              </w:rPr>
              <w:t>以釋例說明</w:t>
            </w:r>
            <w:proofErr w:type="gramEnd"/>
            <w:r w:rsidRPr="00BD0D85">
              <w:rPr>
                <w:rFonts w:ascii="Times New Roman" w:eastAsia="標楷體" w:hAnsi="Times New Roman" w:hint="eastAsia"/>
                <w:color w:val="000000" w:themeColor="text1"/>
                <w:szCs w:val="24"/>
              </w:rPr>
              <w:t>下列情形：</w:t>
            </w:r>
          </w:p>
          <w:p w:rsidR="00F2152D" w:rsidRPr="00BD0D85" w:rsidRDefault="00F2152D" w:rsidP="00214EE1">
            <w:pPr>
              <w:pStyle w:val="a7"/>
              <w:numPr>
                <w:ilvl w:val="1"/>
                <w:numId w:val="3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以基金預估成立日模擬預計之資產配置比重</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含投資標的與證券相關商品、經理費與保管費、現金等</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，以及如何於到期時達到保本比率。</w:t>
            </w:r>
          </w:p>
          <w:p w:rsidR="00F2152D" w:rsidRPr="00BD0D85" w:rsidRDefault="00F2152D" w:rsidP="00214EE1">
            <w:pPr>
              <w:pStyle w:val="a7"/>
              <w:numPr>
                <w:ilvl w:val="1"/>
                <w:numId w:val="3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若以實際進場時之市場利率調整投資比率，請說明目前規劃之投資比例所依據之市場利率，並請模擬可能導致無法達成保本比率之市場利率波動範圍。</w:t>
            </w:r>
          </w:p>
          <w:p w:rsidR="00F2152D" w:rsidRPr="00BD0D85" w:rsidRDefault="00F2152D" w:rsidP="00214EE1">
            <w:pPr>
              <w:pStyle w:val="a7"/>
              <w:numPr>
                <w:ilvl w:val="1"/>
                <w:numId w:val="3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目前規劃之基金參與率未來可能調整之參考因素，並模擬不同參與率情形下對到期結算收益之影響。</w:t>
            </w:r>
          </w:p>
          <w:p w:rsidR="00F2152D" w:rsidRPr="00BD0D85" w:rsidRDefault="00F2152D" w:rsidP="00214EE1">
            <w:pPr>
              <w:pStyle w:val="a7"/>
              <w:widowControl/>
              <w:numPr>
                <w:ilvl w:val="0"/>
                <w:numId w:val="39"/>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投資人若到期前贖回，如何確保基金可達保本比率。</w:t>
            </w:r>
          </w:p>
          <w:p w:rsidR="00F2152D" w:rsidRPr="00BD0D85" w:rsidRDefault="00F2152D" w:rsidP="00214EE1">
            <w:pPr>
              <w:pStyle w:val="a7"/>
              <w:widowControl/>
              <w:numPr>
                <w:ilvl w:val="0"/>
                <w:numId w:val="39"/>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評估基金到期時，是否有未達保本比率之可能性及因應方式。</w:t>
            </w:r>
          </w:p>
          <w:p w:rsidR="00F2152D" w:rsidRPr="00BD0D85" w:rsidRDefault="00F2152D" w:rsidP="004751FB">
            <w:pPr>
              <w:pStyle w:val="a7"/>
              <w:widowControl/>
              <w:numPr>
                <w:ilvl w:val="0"/>
                <w:numId w:val="39"/>
              </w:numPr>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投資風險及因應方式：</w:t>
            </w:r>
          </w:p>
          <w:p w:rsidR="00F2152D" w:rsidRPr="00BD0D85" w:rsidRDefault="00F2152D" w:rsidP="00214EE1">
            <w:pPr>
              <w:pStyle w:val="a7"/>
              <w:numPr>
                <w:ilvl w:val="1"/>
                <w:numId w:val="4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利率變動風險。</w:t>
            </w:r>
          </w:p>
          <w:p w:rsidR="00F2152D" w:rsidRPr="00BD0D85" w:rsidRDefault="00F2152D" w:rsidP="00214EE1">
            <w:pPr>
              <w:pStyle w:val="a7"/>
              <w:numPr>
                <w:ilvl w:val="1"/>
                <w:numId w:val="4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投資標的發行人及證券相關商品交易對象之違約風險。</w:t>
            </w:r>
          </w:p>
          <w:p w:rsidR="00F2152D" w:rsidRPr="00BD0D85" w:rsidRDefault="00F2152D" w:rsidP="00214EE1">
            <w:pPr>
              <w:pStyle w:val="a7"/>
              <w:numPr>
                <w:ilvl w:val="1"/>
                <w:numId w:val="40"/>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證券相關商品部位是否會影響基金保本部位。</w:t>
            </w:r>
          </w:p>
          <w:p w:rsidR="00F2152D" w:rsidRPr="00BD0D85" w:rsidRDefault="00F2152D" w:rsidP="00214EE1">
            <w:pPr>
              <w:pStyle w:val="a7"/>
              <w:numPr>
                <w:ilvl w:val="0"/>
                <w:numId w:val="39"/>
              </w:numPr>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證券相關商品：</w:t>
            </w:r>
          </w:p>
          <w:p w:rsidR="00F2152D" w:rsidRPr="00BD0D85" w:rsidRDefault="00F2152D" w:rsidP="00214EE1">
            <w:pPr>
              <w:pStyle w:val="a7"/>
              <w:numPr>
                <w:ilvl w:val="1"/>
                <w:numId w:val="3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是否屬期貨交易法第</w:t>
            </w:r>
            <w:r w:rsidRPr="00BD0D85">
              <w:rPr>
                <w:rFonts w:ascii="Times New Roman" w:eastAsia="標楷體" w:hAnsi="Times New Roman" w:hint="eastAsia"/>
                <w:color w:val="000000" w:themeColor="text1"/>
                <w:szCs w:val="24"/>
              </w:rPr>
              <w:t>5</w:t>
            </w:r>
            <w:r w:rsidRPr="00BD0D85">
              <w:rPr>
                <w:rFonts w:ascii="Times New Roman" w:eastAsia="標楷體" w:hAnsi="Times New Roman" w:hint="eastAsia"/>
                <w:color w:val="000000" w:themeColor="text1"/>
                <w:szCs w:val="24"/>
              </w:rPr>
              <w:t>條公告期貨商得受託從事交易與證券相關之期貨契約、選擇權契約及期貨選擇權契約之商品。</w:t>
            </w:r>
          </w:p>
          <w:p w:rsidR="00F2152D" w:rsidRPr="00BD0D85" w:rsidRDefault="00F2152D" w:rsidP="00214EE1">
            <w:pPr>
              <w:pStyle w:val="a7"/>
              <w:numPr>
                <w:ilvl w:val="1"/>
                <w:numId w:val="3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其風險暴露占基金淨資產價值之比例。</w:t>
            </w:r>
          </w:p>
          <w:p w:rsidR="00F2152D" w:rsidRPr="00BD0D85" w:rsidRDefault="00F2152D" w:rsidP="00214EE1">
            <w:pPr>
              <w:pStyle w:val="a7"/>
              <w:numPr>
                <w:ilvl w:val="1"/>
                <w:numId w:val="3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若採用選擇權進行交易，如何確保獲得最佳的選擇權價格以維護投資人利益。</w:t>
            </w:r>
          </w:p>
          <w:p w:rsidR="00F2152D" w:rsidRPr="00BD0D85" w:rsidRDefault="00F2152D" w:rsidP="00214EE1">
            <w:pPr>
              <w:pStyle w:val="a7"/>
              <w:numPr>
                <w:ilvl w:val="1"/>
                <w:numId w:val="3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lastRenderedPageBreak/>
              <w:t>檢附規劃報告</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含商品流動性說明</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及相關控管措施。</w:t>
            </w:r>
          </w:p>
          <w:p w:rsidR="00F2152D" w:rsidRPr="00BD0D85" w:rsidRDefault="00F2152D" w:rsidP="00214EE1">
            <w:pPr>
              <w:pStyle w:val="a7"/>
              <w:numPr>
                <w:ilvl w:val="0"/>
                <w:numId w:val="39"/>
              </w:numPr>
              <w:spacing w:line="320" w:lineRule="exact"/>
              <w:jc w:val="both"/>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是否有在不影響保本比率的前提下保留調整連結標的之權利。如是，請說明考量理由、可能發生的情形及選擇其他連結標的之標準。</w:t>
            </w:r>
          </w:p>
          <w:p w:rsidR="00F2152D" w:rsidRPr="00BD0D85" w:rsidRDefault="00F2152D" w:rsidP="005A531F">
            <w:pPr>
              <w:pStyle w:val="a7"/>
              <w:numPr>
                <w:ilvl w:val="0"/>
                <w:numId w:val="39"/>
              </w:num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若有風險管理部門已就本基金發行前進行風險評估，請提供該風險評估報告。</w:t>
            </w:r>
          </w:p>
        </w:tc>
      </w:tr>
      <w:tr w:rsidR="00B043A0" w:rsidRPr="00BD0D85" w:rsidTr="00BB7F0F">
        <w:trPr>
          <w:trHeight w:val="454"/>
          <w:jc w:val="center"/>
        </w:trPr>
        <w:tc>
          <w:tcPr>
            <w:tcW w:w="269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3A0" w:rsidRPr="00BD0D85" w:rsidRDefault="00B043A0" w:rsidP="002A6A7F">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rPr>
            </w:pPr>
          </w:p>
        </w:tc>
        <w:tc>
          <w:tcPr>
            <w:tcW w:w="1135"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2A6A7F">
            <w:pPr>
              <w:widowControl/>
              <w:spacing w:line="320" w:lineRule="exact"/>
              <w:rPr>
                <w:rFonts w:ascii="標楷體" w:eastAsia="標楷體" w:hAnsi="標楷體"/>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F448F7">
            <w:pPr>
              <w:widowControl/>
              <w:spacing w:line="320" w:lineRule="exact"/>
              <w:rPr>
                <w:rFonts w:ascii="Times New Roman" w:eastAsia="標楷體" w:hAnsi="Times New Roman"/>
                <w:color w:val="000000" w:themeColor="text1"/>
                <w:szCs w:val="24"/>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bl>
    <w:p w:rsidR="00992F35" w:rsidRPr="00BD0D85" w:rsidRDefault="00992F35">
      <w:pPr>
        <w:rPr>
          <w:color w:val="000000" w:themeColor="text1"/>
        </w:rPr>
      </w:pPr>
    </w:p>
    <w:p w:rsidR="00992F35" w:rsidRPr="00BD0D85" w:rsidRDefault="00992F35">
      <w:pPr>
        <w:widowControl/>
        <w:suppressAutoHyphens w:val="0"/>
        <w:rPr>
          <w:color w:val="000000" w:themeColor="text1"/>
        </w:rPr>
      </w:pPr>
      <w:r w:rsidRPr="00BD0D85">
        <w:rPr>
          <w:color w:val="000000" w:themeColor="text1"/>
        </w:rPr>
        <w:br w:type="page"/>
      </w:r>
    </w:p>
    <w:p w:rsidR="00992F35" w:rsidRPr="00BD0D85" w:rsidRDefault="00992F35" w:rsidP="006E23A3">
      <w:pPr>
        <w:pStyle w:val="1"/>
        <w:spacing w:before="0" w:after="0" w:line="240" w:lineRule="auto"/>
        <w:rPr>
          <w:rFonts w:ascii="標楷體" w:eastAsia="標楷體" w:hAnsi="標楷體"/>
          <w:color w:val="000000" w:themeColor="text1"/>
          <w:sz w:val="28"/>
          <w:szCs w:val="28"/>
        </w:rPr>
      </w:pPr>
      <w:bookmarkStart w:id="11" w:name="_拾、貨幣市場基金應說明事項"/>
      <w:bookmarkEnd w:id="11"/>
      <w:r w:rsidRPr="00BD0D85">
        <w:rPr>
          <w:rFonts w:ascii="標楷體" w:eastAsia="標楷體" w:hAnsi="標楷體" w:hint="eastAsia"/>
          <w:color w:val="000000" w:themeColor="text1"/>
          <w:sz w:val="28"/>
          <w:szCs w:val="28"/>
        </w:rPr>
        <w:lastRenderedPageBreak/>
        <w:t>拾、貨幣市場</w:t>
      </w:r>
      <w:r w:rsidRPr="00BD0D85">
        <w:rPr>
          <w:rFonts w:ascii="標楷體" w:eastAsia="標楷體" w:hAnsi="標楷體"/>
          <w:color w:val="000000" w:themeColor="text1"/>
          <w:sz w:val="28"/>
          <w:szCs w:val="28"/>
        </w:rPr>
        <w:t>基金</w:t>
      </w:r>
      <w:r w:rsidRPr="00BD0D85">
        <w:rPr>
          <w:rFonts w:ascii="標楷體" w:eastAsia="標楷體" w:hAnsi="標楷體" w:hint="eastAsia"/>
          <w:color w:val="000000" w:themeColor="text1"/>
          <w:sz w:val="28"/>
          <w:szCs w:val="28"/>
        </w:rPr>
        <w:t>應說明事項</w:t>
      </w:r>
    </w:p>
    <w:tbl>
      <w:tblPr>
        <w:tblW w:w="5270" w:type="pct"/>
        <w:jc w:val="center"/>
        <w:tblCellMar>
          <w:left w:w="10" w:type="dxa"/>
          <w:right w:w="10" w:type="dxa"/>
        </w:tblCellMar>
        <w:tblLook w:val="04A0" w:firstRow="1" w:lastRow="0" w:firstColumn="1" w:lastColumn="0" w:noHBand="0" w:noVBand="1"/>
      </w:tblPr>
      <w:tblGrid>
        <w:gridCol w:w="2694"/>
        <w:gridCol w:w="1135"/>
        <w:gridCol w:w="8926"/>
        <w:gridCol w:w="1946"/>
      </w:tblGrid>
      <w:tr w:rsidR="00BD0D85" w:rsidRPr="00BD0D85" w:rsidTr="008C3DD6">
        <w:trPr>
          <w:trHeight w:val="567"/>
          <w:tblHeader/>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92F35" w:rsidRPr="00BD0D85" w:rsidRDefault="00992F35" w:rsidP="00992F35">
            <w:pPr>
              <w:spacing w:line="320" w:lineRule="exact"/>
              <w:jc w:val="center"/>
              <w:rPr>
                <w:rFonts w:ascii="Times New Roman" w:eastAsia="標楷體" w:hAnsi="Times New Roman"/>
                <w:b/>
                <w:color w:val="000000" w:themeColor="text1"/>
                <w:sz w:val="28"/>
                <w:szCs w:val="28"/>
              </w:rPr>
            </w:pPr>
            <w:r w:rsidRPr="00BD0D85">
              <w:rPr>
                <w:color w:val="000000" w:themeColor="text1"/>
              </w:rPr>
              <w:br w:type="page"/>
            </w:r>
            <w:r w:rsidRPr="00BD0D85">
              <w:rPr>
                <w:rFonts w:ascii="Times New Roman" w:eastAsia="標楷體" w:hAnsi="Times New Roman"/>
                <w:b/>
                <w:color w:val="000000" w:themeColor="text1"/>
                <w:sz w:val="28"/>
                <w:szCs w:val="28"/>
              </w:rPr>
              <w:t>檢查事項</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92F35" w:rsidRPr="00BD0D85" w:rsidRDefault="00992F35" w:rsidP="00992F35">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結論</w:t>
            </w:r>
          </w:p>
        </w:tc>
        <w:tc>
          <w:tcPr>
            <w:tcW w:w="8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92F35" w:rsidRPr="00BD0D85" w:rsidRDefault="00992F35" w:rsidP="00992F35">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hint="eastAsia"/>
                <w:b/>
                <w:color w:val="000000" w:themeColor="text1"/>
                <w:sz w:val="28"/>
                <w:szCs w:val="28"/>
              </w:rPr>
              <w:t>證</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券</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投</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資</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信</w:t>
            </w:r>
            <w:r w:rsidRPr="00BD0D85">
              <w:rPr>
                <w:rFonts w:ascii="Times New Roman" w:eastAsia="標楷體" w:hAnsi="Times New Roman"/>
                <w:b/>
                <w:color w:val="000000" w:themeColor="text1"/>
                <w:sz w:val="28"/>
                <w:szCs w:val="28"/>
              </w:rPr>
              <w:t xml:space="preserve">  </w:t>
            </w:r>
            <w:proofErr w:type="gramStart"/>
            <w:r w:rsidRPr="00BD0D85">
              <w:rPr>
                <w:rFonts w:ascii="Times New Roman" w:eastAsia="標楷體" w:hAnsi="Times New Roman" w:hint="eastAsia"/>
                <w:b/>
                <w:color w:val="000000" w:themeColor="text1"/>
                <w:sz w:val="28"/>
                <w:szCs w:val="28"/>
              </w:rPr>
              <w:t>託</w:t>
            </w:r>
            <w:proofErr w:type="gramEnd"/>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事</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hint="eastAsia"/>
                <w:b/>
                <w:color w:val="000000" w:themeColor="text1"/>
                <w:sz w:val="28"/>
                <w:szCs w:val="28"/>
              </w:rPr>
              <w:t>業</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說</w:t>
            </w:r>
            <w:r w:rsidRPr="00BD0D85">
              <w:rPr>
                <w:rFonts w:ascii="Times New Roman" w:eastAsia="標楷體" w:hAnsi="Times New Roman"/>
                <w:b/>
                <w:color w:val="000000" w:themeColor="text1"/>
                <w:sz w:val="28"/>
                <w:szCs w:val="28"/>
              </w:rPr>
              <w:t xml:space="preserve">  </w:t>
            </w:r>
            <w:r w:rsidRPr="00BD0D85">
              <w:rPr>
                <w:rFonts w:ascii="Times New Roman" w:eastAsia="標楷體" w:hAnsi="Times New Roman"/>
                <w:b/>
                <w:color w:val="000000" w:themeColor="text1"/>
                <w:sz w:val="28"/>
                <w:szCs w:val="28"/>
              </w:rPr>
              <w:t>明</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992F35" w:rsidRPr="00BD0D85" w:rsidRDefault="00992F35" w:rsidP="00992F35">
            <w:pPr>
              <w:spacing w:line="320" w:lineRule="exact"/>
              <w:jc w:val="center"/>
              <w:rPr>
                <w:rFonts w:ascii="Times New Roman" w:eastAsia="標楷體" w:hAnsi="Times New Roman"/>
                <w:b/>
                <w:color w:val="000000" w:themeColor="text1"/>
                <w:sz w:val="28"/>
                <w:szCs w:val="28"/>
              </w:rPr>
            </w:pPr>
            <w:r w:rsidRPr="00BD0D85">
              <w:rPr>
                <w:rFonts w:ascii="Times New Roman" w:eastAsia="標楷體" w:hAnsi="Times New Roman"/>
                <w:b/>
                <w:color w:val="000000" w:themeColor="text1"/>
                <w:sz w:val="28"/>
                <w:szCs w:val="28"/>
              </w:rPr>
              <w:t>附件索引</w:t>
            </w:r>
          </w:p>
        </w:tc>
      </w:tr>
      <w:tr w:rsidR="00BD0D85" w:rsidRPr="00BD0D85" w:rsidTr="00992F35">
        <w:trPr>
          <w:trHeight w:val="974"/>
          <w:jc w:val="center"/>
        </w:trPr>
        <w:tc>
          <w:tcPr>
            <w:tcW w:w="269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2A6A7F" w:rsidRPr="00BD0D85" w:rsidRDefault="0019120C" w:rsidP="00992F35">
            <w:pPr>
              <w:widowControl/>
              <w:tabs>
                <w:tab w:val="left" w:pos="457"/>
              </w:tabs>
              <w:spacing w:line="320" w:lineRule="exact"/>
              <w:jc w:val="both"/>
              <w:rPr>
                <w:rFonts w:ascii="Times New Roman" w:eastAsia="標楷體" w:hAnsi="Times New Roman"/>
                <w:b/>
                <w:color w:val="000000" w:themeColor="text1"/>
                <w:szCs w:val="24"/>
              </w:rPr>
            </w:pPr>
            <w:r w:rsidRPr="00BD0D85">
              <w:rPr>
                <w:rFonts w:ascii="Times New Roman" w:eastAsia="標楷體" w:hAnsi="Times New Roman" w:hint="eastAsia"/>
                <w:b/>
                <w:color w:val="000000" w:themeColor="text1"/>
                <w:szCs w:val="24"/>
              </w:rPr>
              <w:t>貨幣市場</w:t>
            </w:r>
            <w:r w:rsidR="002A6A7F" w:rsidRPr="00BD0D85">
              <w:rPr>
                <w:rFonts w:ascii="Times New Roman" w:eastAsia="標楷體" w:hAnsi="Times New Roman" w:hint="eastAsia"/>
                <w:b/>
                <w:color w:val="000000" w:themeColor="text1"/>
                <w:szCs w:val="24"/>
              </w:rPr>
              <w:t>基金之應說明事項是否完整。</w:t>
            </w:r>
          </w:p>
        </w:tc>
        <w:tc>
          <w:tcPr>
            <w:tcW w:w="1135"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rsidR="002A6A7F" w:rsidRPr="00BD0D85" w:rsidRDefault="002A6A7F" w:rsidP="002A6A7F">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是</w:t>
            </w:r>
          </w:p>
          <w:p w:rsidR="002A6A7F" w:rsidRPr="00BD0D85" w:rsidRDefault="002A6A7F" w:rsidP="002A6A7F">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Cs w:val="24"/>
              </w:rPr>
              <w:t>否</w:t>
            </w:r>
          </w:p>
          <w:p w:rsidR="002A6A7F" w:rsidRPr="00BD0D85" w:rsidRDefault="002A6A7F" w:rsidP="002A6A7F">
            <w:pPr>
              <w:widowControl/>
              <w:spacing w:line="320" w:lineRule="exact"/>
              <w:rPr>
                <w:rFonts w:ascii="Times New Roman" w:eastAsia="標楷體" w:hAnsi="Times New Roman"/>
                <w:color w:val="000000" w:themeColor="text1"/>
                <w:szCs w:val="24"/>
              </w:rPr>
            </w:pPr>
            <w:r w:rsidRPr="00BD0D85">
              <w:rPr>
                <w:rFonts w:ascii="標楷體" w:eastAsia="標楷體" w:hAnsi="標楷體" w:hint="eastAsia"/>
                <w:color w:val="000000" w:themeColor="text1"/>
                <w:szCs w:val="24"/>
              </w:rPr>
              <w:t>□</w:t>
            </w:r>
            <w:r w:rsidRPr="00BD0D85">
              <w:rPr>
                <w:rFonts w:ascii="Times New Roman" w:eastAsia="標楷體" w:hAnsi="Times New Roman" w:hint="eastAsia"/>
                <w:color w:val="000000" w:themeColor="text1"/>
                <w:sz w:val="22"/>
                <w:szCs w:val="24"/>
              </w:rPr>
              <w:t>不適用</w:t>
            </w:r>
          </w:p>
        </w:tc>
        <w:tc>
          <w:tcPr>
            <w:tcW w:w="89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A7F" w:rsidRPr="00BD0D85" w:rsidRDefault="002A6A7F" w:rsidP="00B24B9C">
            <w:pPr>
              <w:widowControl/>
              <w:spacing w:line="320" w:lineRule="exact"/>
              <w:rPr>
                <w:rFonts w:ascii="Times New Roman" w:eastAsia="標楷體" w:hAnsi="Times New Roman"/>
                <w:color w:val="000000" w:themeColor="text1"/>
                <w:szCs w:val="24"/>
              </w:rPr>
            </w:pPr>
          </w:p>
        </w:tc>
        <w:tc>
          <w:tcPr>
            <w:tcW w:w="1946" w:type="dxa"/>
            <w:tcBorders>
              <w:top w:val="single" w:sz="4" w:space="0" w:color="auto"/>
              <w:left w:val="single" w:sz="4" w:space="0" w:color="000000"/>
              <w:bottom w:val="single" w:sz="4" w:space="0" w:color="000000"/>
              <w:right w:val="single" w:sz="4" w:space="0" w:color="000000"/>
            </w:tcBorders>
            <w:shd w:val="clear" w:color="auto" w:fill="auto"/>
          </w:tcPr>
          <w:p w:rsidR="002A6A7F" w:rsidRPr="00BD0D85" w:rsidRDefault="002A6A7F" w:rsidP="002466C4">
            <w:pPr>
              <w:widowControl/>
              <w:spacing w:line="320" w:lineRule="exact"/>
              <w:rPr>
                <w:rFonts w:ascii="Times New Roman" w:eastAsia="標楷體" w:hAnsi="Times New Roman"/>
                <w:color w:val="000000" w:themeColor="text1"/>
                <w:szCs w:val="24"/>
                <w:highlight w:val="yellow"/>
              </w:rPr>
            </w:pPr>
          </w:p>
        </w:tc>
      </w:tr>
      <w:tr w:rsidR="00BD0D85" w:rsidRPr="00BD0D85" w:rsidTr="00550393">
        <w:trPr>
          <w:trHeight w:val="974"/>
          <w:jc w:val="center"/>
        </w:trPr>
        <w:tc>
          <w:tcPr>
            <w:tcW w:w="2694" w:type="dxa"/>
            <w:vMerge/>
            <w:tcBorders>
              <w:left w:val="single" w:sz="4" w:space="0" w:color="auto"/>
              <w:right w:val="single" w:sz="4" w:space="0" w:color="auto"/>
            </w:tcBorders>
            <w:shd w:val="clear" w:color="auto" w:fill="auto"/>
            <w:tcMar>
              <w:top w:w="0" w:type="dxa"/>
              <w:left w:w="108" w:type="dxa"/>
              <w:bottom w:w="0" w:type="dxa"/>
              <w:right w:w="108" w:type="dxa"/>
            </w:tcMar>
          </w:tcPr>
          <w:p w:rsidR="00F2152D" w:rsidRPr="00BD0D85" w:rsidRDefault="00F2152D" w:rsidP="002A6A7F">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highlight w:val="green"/>
              </w:rPr>
            </w:pPr>
          </w:p>
        </w:tc>
        <w:tc>
          <w:tcPr>
            <w:tcW w:w="1135" w:type="dxa"/>
            <w:vMerge/>
            <w:tcBorders>
              <w:left w:val="single" w:sz="4" w:space="0" w:color="auto"/>
              <w:right w:val="single" w:sz="4" w:space="0" w:color="000000"/>
            </w:tcBorders>
            <w:shd w:val="clear" w:color="auto" w:fill="auto"/>
            <w:tcMar>
              <w:top w:w="0" w:type="dxa"/>
              <w:left w:w="108" w:type="dxa"/>
              <w:bottom w:w="0" w:type="dxa"/>
              <w:right w:w="108" w:type="dxa"/>
            </w:tcMar>
          </w:tcPr>
          <w:p w:rsidR="00F2152D" w:rsidRPr="00BD0D85" w:rsidRDefault="00F2152D" w:rsidP="002A6A7F">
            <w:pPr>
              <w:widowControl/>
              <w:spacing w:line="320" w:lineRule="exact"/>
              <w:rPr>
                <w:rFonts w:ascii="標楷體" w:eastAsia="標楷體" w:hAnsi="標楷體"/>
                <w:color w:val="000000" w:themeColor="text1"/>
                <w:szCs w:val="24"/>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152D" w:rsidRPr="00BD0D85" w:rsidRDefault="00F2152D" w:rsidP="002A6A7F">
            <w:pPr>
              <w:spacing w:line="320" w:lineRule="exact"/>
              <w:ind w:left="480" w:hanging="480"/>
              <w:jc w:val="both"/>
              <w:rPr>
                <w:rFonts w:ascii="Times New Roman" w:eastAsia="標楷體" w:hAnsi="Times New Roman"/>
                <w:color w:val="000000" w:themeColor="text1"/>
                <w:szCs w:val="24"/>
              </w:rPr>
            </w:pPr>
            <w:r w:rsidRPr="00BD0D85">
              <w:rPr>
                <w:rFonts w:ascii="Times New Roman" w:eastAsia="標楷體" w:hAnsi="Times New Roman"/>
                <w:color w:val="000000" w:themeColor="text1"/>
                <w:szCs w:val="24"/>
              </w:rPr>
              <w:t>補充說明事項：</w:t>
            </w:r>
          </w:p>
          <w:p w:rsidR="00F2152D" w:rsidRPr="00BD0D85" w:rsidRDefault="00F2152D" w:rsidP="002A6A7F">
            <w:pPr>
              <w:spacing w:line="320" w:lineRule="exact"/>
              <w:jc w:val="both"/>
              <w:rPr>
                <w:rFonts w:ascii="Times New Roman" w:eastAsia="標楷體" w:hAnsi="Times New Roman"/>
                <w:color w:val="000000" w:themeColor="text1"/>
                <w:szCs w:val="24"/>
                <w:shd w:val="clear" w:color="auto" w:fill="FFFFFF"/>
              </w:rPr>
            </w:pPr>
            <w:r w:rsidRPr="00BD0D85">
              <w:rPr>
                <w:rFonts w:ascii="Times New Roman" w:eastAsia="標楷體" w:hAnsi="Times New Roman" w:hint="eastAsia"/>
                <w:color w:val="000000" w:themeColor="text1"/>
                <w:szCs w:val="24"/>
              </w:rPr>
              <w:t>請提供壓力測試及因應措施</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至少應包含流動性風險、利率風險、信用風險及市場極端情形</w:t>
            </w:r>
            <w:r w:rsidRPr="00BD0D85">
              <w:rPr>
                <w:rFonts w:ascii="Times New Roman" w:eastAsia="標楷體" w:hAnsi="Times New Roman" w:hint="eastAsia"/>
                <w:color w:val="000000" w:themeColor="text1"/>
                <w:szCs w:val="24"/>
              </w:rPr>
              <w:t>)</w:t>
            </w:r>
            <w:r w:rsidRPr="00BD0D85">
              <w:rPr>
                <w:rFonts w:ascii="Times New Roman" w:eastAsia="標楷體" w:hAnsi="Times New Roman" w:hint="eastAsia"/>
                <w:color w:val="000000" w:themeColor="text1"/>
                <w:szCs w:val="24"/>
              </w:rPr>
              <w:t>。</w:t>
            </w:r>
          </w:p>
        </w:tc>
      </w:tr>
      <w:tr w:rsidR="00B043A0" w:rsidRPr="00BD0D85" w:rsidTr="00BB7F0F">
        <w:trPr>
          <w:trHeight w:val="454"/>
          <w:jc w:val="center"/>
        </w:trPr>
        <w:tc>
          <w:tcPr>
            <w:tcW w:w="269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043A0" w:rsidRPr="00BD0D85" w:rsidRDefault="00B043A0" w:rsidP="002A6A7F">
            <w:pPr>
              <w:widowControl/>
              <w:numPr>
                <w:ilvl w:val="0"/>
                <w:numId w:val="1"/>
              </w:numPr>
              <w:tabs>
                <w:tab w:val="left" w:pos="457"/>
              </w:tabs>
              <w:spacing w:line="320" w:lineRule="exact"/>
              <w:ind w:left="741" w:hanging="843"/>
              <w:jc w:val="both"/>
              <w:rPr>
                <w:rFonts w:ascii="Times New Roman" w:eastAsia="標楷體" w:hAnsi="Times New Roman"/>
                <w:b/>
                <w:color w:val="000000" w:themeColor="text1"/>
                <w:szCs w:val="24"/>
                <w:highlight w:val="green"/>
              </w:rPr>
            </w:pPr>
          </w:p>
        </w:tc>
        <w:tc>
          <w:tcPr>
            <w:tcW w:w="1135"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2A6A7F">
            <w:pPr>
              <w:widowControl/>
              <w:spacing w:line="320" w:lineRule="exact"/>
              <w:rPr>
                <w:rFonts w:ascii="標楷體" w:eastAsia="標楷體" w:hAnsi="標楷體"/>
                <w:color w:val="000000" w:themeColor="text1"/>
                <w:szCs w:val="24"/>
                <w:highlight w:val="green"/>
              </w:rPr>
            </w:pPr>
          </w:p>
        </w:tc>
        <w:tc>
          <w:tcPr>
            <w:tcW w:w="10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3A0" w:rsidRPr="00BD0D85" w:rsidRDefault="00B043A0" w:rsidP="00F448F7">
            <w:pPr>
              <w:widowControl/>
              <w:spacing w:line="320" w:lineRule="exact"/>
              <w:rPr>
                <w:rFonts w:ascii="Times New Roman" w:eastAsia="標楷體" w:hAnsi="Times New Roman"/>
                <w:color w:val="000000" w:themeColor="text1"/>
                <w:szCs w:val="24"/>
                <w:highlight w:val="yellow"/>
              </w:rPr>
            </w:pPr>
            <w:r w:rsidRPr="00BD0D85">
              <w:rPr>
                <w:rFonts w:ascii="Times New Roman" w:eastAsia="標楷體" w:hAnsi="Times New Roman" w:hint="eastAsia"/>
                <w:color w:val="000000" w:themeColor="text1"/>
                <w:szCs w:val="24"/>
              </w:rPr>
              <w:t>集保審查意見：</w:t>
            </w:r>
            <w:r w:rsidRPr="00BD0D85">
              <w:rPr>
                <w:rFonts w:ascii="標楷體" w:eastAsia="標楷體" w:hAnsi="標楷體" w:hint="eastAsia"/>
                <w:color w:val="000000" w:themeColor="text1"/>
                <w:szCs w:val="24"/>
              </w:rPr>
              <w:t>□正常□異常□不適用</w:t>
            </w:r>
          </w:p>
        </w:tc>
      </w:tr>
    </w:tbl>
    <w:p w:rsidR="00BB2861" w:rsidRPr="00BD0D85" w:rsidRDefault="00BB2861">
      <w:pPr>
        <w:rPr>
          <w:rFonts w:ascii="Times New Roman" w:hAnsi="Times New Roman"/>
          <w:vanish/>
          <w:color w:val="000000" w:themeColor="text1"/>
        </w:rPr>
      </w:pPr>
    </w:p>
    <w:sectPr w:rsidR="00BB2861" w:rsidRPr="00BD0D85">
      <w:headerReference w:type="default" r:id="rId9"/>
      <w:footerReference w:type="default" r:id="rId10"/>
      <w:pgSz w:w="16838" w:h="11906" w:orient="landscape"/>
      <w:pgMar w:top="1080" w:right="1440" w:bottom="1080" w:left="1440" w:header="851" w:footer="992" w:gutter="0"/>
      <w:cols w:space="720"/>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E8" w:rsidRDefault="001F70E8">
      <w:r>
        <w:separator/>
      </w:r>
    </w:p>
  </w:endnote>
  <w:endnote w:type="continuationSeparator" w:id="0">
    <w:p w:rsidR="001F70E8" w:rsidRDefault="001F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E8" w:rsidRDefault="001F70E8">
    <w:pPr>
      <w:pStyle w:val="a5"/>
      <w:jc w:val="center"/>
    </w:pPr>
    <w:r>
      <w:rPr>
        <w:rFonts w:ascii="Book Antiqua" w:hAnsi="Book Antiqua"/>
        <w:b/>
        <w:bCs/>
        <w:sz w:val="16"/>
        <w:lang w:val="zh-TW"/>
      </w:rPr>
      <w:fldChar w:fldCharType="begin"/>
    </w:r>
    <w:r>
      <w:rPr>
        <w:rFonts w:ascii="Book Antiqua" w:hAnsi="Book Antiqua"/>
        <w:b/>
        <w:bCs/>
        <w:sz w:val="16"/>
        <w:lang w:val="zh-TW"/>
      </w:rPr>
      <w:instrText xml:space="preserve"> PAGE \* ARABIC </w:instrText>
    </w:r>
    <w:r>
      <w:rPr>
        <w:rFonts w:ascii="Book Antiqua" w:hAnsi="Book Antiqua"/>
        <w:b/>
        <w:bCs/>
        <w:sz w:val="16"/>
        <w:lang w:val="zh-TW"/>
      </w:rPr>
      <w:fldChar w:fldCharType="separate"/>
    </w:r>
    <w:r w:rsidR="00E748DD">
      <w:rPr>
        <w:rFonts w:ascii="Book Antiqua" w:hAnsi="Book Antiqua"/>
        <w:b/>
        <w:bCs/>
        <w:noProof/>
        <w:sz w:val="16"/>
        <w:lang w:val="zh-TW"/>
      </w:rPr>
      <w:t>20</w:t>
    </w:r>
    <w:r>
      <w:rPr>
        <w:rFonts w:ascii="Book Antiqua" w:hAnsi="Book Antiqua"/>
        <w:b/>
        <w:bCs/>
        <w:sz w:val="16"/>
        <w:lang w:val="zh-TW"/>
      </w:rPr>
      <w:fldChar w:fldCharType="end"/>
    </w:r>
    <w:r>
      <w:rPr>
        <w:rFonts w:ascii="Book Antiqua" w:hAnsi="Book Antiqua"/>
        <w:sz w:val="16"/>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E8" w:rsidRDefault="001F70E8">
      <w:r>
        <w:rPr>
          <w:color w:val="000000"/>
        </w:rPr>
        <w:separator/>
      </w:r>
    </w:p>
  </w:footnote>
  <w:footnote w:type="continuationSeparator" w:id="0">
    <w:p w:rsidR="001F70E8" w:rsidRDefault="001F7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E8" w:rsidRDefault="001F70E8">
    <w:pPr>
      <w:pStyle w:val="a3"/>
      <w:jc w:val="right"/>
      <w:rPr>
        <w:rFonts w:ascii="Book Antiqua" w:eastAsia="標楷體" w:hAnsi="Book Antiqua"/>
        <w:sz w:val="18"/>
      </w:rPr>
    </w:pPr>
    <w:r>
      <w:rPr>
        <w:rFonts w:ascii="Book Antiqua" w:eastAsia="標楷體" w:hAnsi="Book Antiqua"/>
        <w:sz w:val="18"/>
      </w:rPr>
      <w:t>制修日期：</w:t>
    </w:r>
    <w:r>
      <w:rPr>
        <w:rFonts w:ascii="Book Antiqua" w:eastAsia="標楷體" w:hAnsi="Book Antiqua"/>
        <w:sz w:val="18"/>
      </w:rPr>
      <w:t>112</w:t>
    </w:r>
    <w:r>
      <w:rPr>
        <w:rFonts w:ascii="Book Antiqua" w:eastAsia="標楷體" w:hAnsi="Book Antiqua"/>
        <w:sz w:val="18"/>
      </w:rPr>
      <w:t>年</w:t>
    </w:r>
    <w:r w:rsidR="00DD63A1">
      <w:rPr>
        <w:rFonts w:ascii="Book Antiqua" w:eastAsia="標楷體" w:hAnsi="Book Antiqua" w:hint="eastAsia"/>
        <w:sz w:val="18"/>
      </w:rPr>
      <w:t>12</w:t>
    </w:r>
    <w:r>
      <w:rPr>
        <w:rFonts w:ascii="Book Antiqua" w:eastAsia="標楷體" w:hAnsi="Book Antiqua"/>
        <w:sz w:val="18"/>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3F1B"/>
    <w:multiLevelType w:val="multilevel"/>
    <w:tmpl w:val="A4B67A5E"/>
    <w:lvl w:ilvl="0">
      <w:start w:val="1"/>
      <w:numFmt w:val="taiwaneseCountingThousand"/>
      <w:lvlText w:val="%1、"/>
      <w:lvlJc w:val="left"/>
      <w:pPr>
        <w:ind w:left="480" w:hanging="480"/>
      </w:pPr>
      <w:rPr>
        <w:color w:val="FF0000"/>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7A70AB"/>
    <w:multiLevelType w:val="hybridMultilevel"/>
    <w:tmpl w:val="59600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369B3"/>
    <w:multiLevelType w:val="multilevel"/>
    <w:tmpl w:val="C75E0690"/>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D326C5B"/>
    <w:multiLevelType w:val="hybridMultilevel"/>
    <w:tmpl w:val="946C79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5B6D36"/>
    <w:multiLevelType w:val="hybridMultilevel"/>
    <w:tmpl w:val="F58A3792"/>
    <w:lvl w:ilvl="0" w:tplc="752A3D12">
      <w:start w:val="1"/>
      <w:numFmt w:val="taiwaneseCountingThousand"/>
      <w:lvlText w:val="%1、"/>
      <w:lvlJc w:val="left"/>
      <w:pPr>
        <w:ind w:left="480" w:hanging="480"/>
      </w:pPr>
      <w:rPr>
        <w:rFonts w:hint="default"/>
        <w:color w:val="FF0000"/>
      </w:rPr>
    </w:lvl>
    <w:lvl w:ilvl="1" w:tplc="EB862F2C">
      <w:start w:val="1"/>
      <w:numFmt w:val="taiwaneseCountingThousand"/>
      <w:lvlText w:val="(%2)"/>
      <w:lvlJc w:val="left"/>
      <w:pPr>
        <w:ind w:left="960" w:hanging="480"/>
      </w:pPr>
      <w:rPr>
        <w:rFonts w:hint="default"/>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45B5C"/>
    <w:multiLevelType w:val="multilevel"/>
    <w:tmpl w:val="C75E0690"/>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3380B89"/>
    <w:multiLevelType w:val="hybridMultilevel"/>
    <w:tmpl w:val="EB8844FC"/>
    <w:lvl w:ilvl="0" w:tplc="C61A480E">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B3EAD"/>
    <w:multiLevelType w:val="multilevel"/>
    <w:tmpl w:val="C75E0690"/>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68C1E98"/>
    <w:multiLevelType w:val="multilevel"/>
    <w:tmpl w:val="CD109D64"/>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7F66193"/>
    <w:multiLevelType w:val="multilevel"/>
    <w:tmpl w:val="C75E0690"/>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927380"/>
    <w:multiLevelType w:val="hybridMultilevel"/>
    <w:tmpl w:val="05AC1228"/>
    <w:lvl w:ilvl="0" w:tplc="0409000F">
      <w:start w:val="1"/>
      <w:numFmt w:val="decimal"/>
      <w:lvlText w:val="%1."/>
      <w:lvlJc w:val="left"/>
      <w:pPr>
        <w:ind w:left="1502" w:hanging="480"/>
      </w:p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11" w15:restartNumberingAfterBreak="0">
    <w:nsid w:val="1F4F5296"/>
    <w:multiLevelType w:val="hybridMultilevel"/>
    <w:tmpl w:val="ADEA6E2C"/>
    <w:lvl w:ilvl="0" w:tplc="F8660D5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8F2A76"/>
    <w:multiLevelType w:val="multilevel"/>
    <w:tmpl w:val="A4B67A5E"/>
    <w:lvl w:ilvl="0">
      <w:start w:val="1"/>
      <w:numFmt w:val="taiwaneseCountingThousand"/>
      <w:lvlText w:val="%1、"/>
      <w:lvlJc w:val="left"/>
      <w:pPr>
        <w:ind w:left="480" w:hanging="480"/>
      </w:pPr>
      <w:rPr>
        <w:color w:val="FF0000"/>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5FB46FB"/>
    <w:multiLevelType w:val="hybridMultilevel"/>
    <w:tmpl w:val="CFEE5D20"/>
    <w:lvl w:ilvl="0" w:tplc="1A5CADE2">
      <w:start w:val="1"/>
      <w:numFmt w:val="taiwaneseCountingThousand"/>
      <w:lvlText w:val="%1、"/>
      <w:lvlJc w:val="left"/>
      <w:pPr>
        <w:ind w:left="480" w:hanging="480"/>
      </w:pPr>
      <w:rPr>
        <w:rFonts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111969"/>
    <w:multiLevelType w:val="hybridMultilevel"/>
    <w:tmpl w:val="D03C0298"/>
    <w:lvl w:ilvl="0" w:tplc="DA46499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C92E85"/>
    <w:multiLevelType w:val="multilevel"/>
    <w:tmpl w:val="C75E0690"/>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CB95E9F"/>
    <w:multiLevelType w:val="hybridMultilevel"/>
    <w:tmpl w:val="965CC3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DD4F32"/>
    <w:multiLevelType w:val="hybridMultilevel"/>
    <w:tmpl w:val="2DA46CE0"/>
    <w:lvl w:ilvl="0" w:tplc="6C76587A">
      <w:start w:val="1"/>
      <w:numFmt w:val="taiwaneseCountingThousand"/>
      <w:lvlText w:val="(%1)"/>
      <w:lvlJc w:val="left"/>
      <w:pPr>
        <w:ind w:left="870" w:hanging="39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85A0EE2"/>
    <w:multiLevelType w:val="multilevel"/>
    <w:tmpl w:val="238864F6"/>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rPr>
        <w:color w:val="000000" w:themeColor="text1"/>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996624D"/>
    <w:multiLevelType w:val="multilevel"/>
    <w:tmpl w:val="33AE2538"/>
    <w:lvl w:ilvl="0">
      <w:start w:val="1"/>
      <w:numFmt w:val="decimal"/>
      <w:lvlText w:val="%1."/>
      <w:lvlJc w:val="left"/>
      <w:pPr>
        <w:ind w:left="360" w:hanging="360"/>
      </w:pPr>
      <w:rPr>
        <w:b w:val="0"/>
        <w:color w:val="000000" w:themeColor="text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CB35E6E"/>
    <w:multiLevelType w:val="hybridMultilevel"/>
    <w:tmpl w:val="64DA9F46"/>
    <w:lvl w:ilvl="0" w:tplc="AEF46D4A">
      <w:start w:val="1"/>
      <w:numFmt w:val="taiwaneseCountingThousand"/>
      <w:lvlText w:val="(%1)"/>
      <w:lvlJc w:val="left"/>
      <w:pPr>
        <w:ind w:left="929" w:hanging="480"/>
      </w:pPr>
      <w:rPr>
        <w:rFonts w:hint="default"/>
        <w:color w:val="000000" w:themeColor="text1"/>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21" w15:restartNumberingAfterBreak="0">
    <w:nsid w:val="3CE3130A"/>
    <w:multiLevelType w:val="multilevel"/>
    <w:tmpl w:val="A4B67A5E"/>
    <w:lvl w:ilvl="0">
      <w:start w:val="1"/>
      <w:numFmt w:val="taiwaneseCountingThousand"/>
      <w:lvlText w:val="%1、"/>
      <w:lvlJc w:val="left"/>
      <w:pPr>
        <w:ind w:left="480" w:hanging="480"/>
      </w:pPr>
      <w:rPr>
        <w:color w:val="FF0000"/>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6916F4"/>
    <w:multiLevelType w:val="multilevel"/>
    <w:tmpl w:val="782A409C"/>
    <w:lvl w:ilvl="0">
      <w:start w:val="1"/>
      <w:numFmt w:val="taiwaneseCountingThousand"/>
      <w:lvlText w:val="%1、"/>
      <w:lvlJc w:val="left"/>
      <w:pPr>
        <w:ind w:left="3584" w:hanging="465"/>
      </w:pPr>
      <w:rPr>
        <w:b/>
      </w:rPr>
    </w:lvl>
    <w:lvl w:ilvl="1">
      <w:start w:val="1"/>
      <w:numFmt w:val="ideographTraditional"/>
      <w:lvlText w:val="%2、"/>
      <w:lvlJc w:val="left"/>
      <w:pPr>
        <w:ind w:left="4079" w:hanging="480"/>
      </w:pPr>
    </w:lvl>
    <w:lvl w:ilvl="2">
      <w:start w:val="1"/>
      <w:numFmt w:val="lowerRoman"/>
      <w:lvlText w:val="%3."/>
      <w:lvlJc w:val="right"/>
      <w:pPr>
        <w:ind w:left="4559" w:hanging="480"/>
      </w:pPr>
    </w:lvl>
    <w:lvl w:ilvl="3">
      <w:start w:val="1"/>
      <w:numFmt w:val="decimal"/>
      <w:lvlText w:val="%4."/>
      <w:lvlJc w:val="left"/>
      <w:pPr>
        <w:ind w:left="5039" w:hanging="480"/>
      </w:pPr>
    </w:lvl>
    <w:lvl w:ilvl="4">
      <w:start w:val="1"/>
      <w:numFmt w:val="ideographTraditional"/>
      <w:lvlText w:val="%5、"/>
      <w:lvlJc w:val="left"/>
      <w:pPr>
        <w:ind w:left="5519" w:hanging="480"/>
      </w:pPr>
    </w:lvl>
    <w:lvl w:ilvl="5">
      <w:start w:val="1"/>
      <w:numFmt w:val="lowerRoman"/>
      <w:lvlText w:val="%6."/>
      <w:lvlJc w:val="right"/>
      <w:pPr>
        <w:ind w:left="5999" w:hanging="480"/>
      </w:pPr>
    </w:lvl>
    <w:lvl w:ilvl="6">
      <w:start w:val="1"/>
      <w:numFmt w:val="decimal"/>
      <w:lvlText w:val="%7."/>
      <w:lvlJc w:val="left"/>
      <w:pPr>
        <w:ind w:left="6479" w:hanging="480"/>
      </w:pPr>
    </w:lvl>
    <w:lvl w:ilvl="7">
      <w:start w:val="1"/>
      <w:numFmt w:val="ideographTraditional"/>
      <w:lvlText w:val="%8、"/>
      <w:lvlJc w:val="left"/>
      <w:pPr>
        <w:ind w:left="6959" w:hanging="480"/>
      </w:pPr>
    </w:lvl>
    <w:lvl w:ilvl="8">
      <w:start w:val="1"/>
      <w:numFmt w:val="lowerRoman"/>
      <w:lvlText w:val="%9."/>
      <w:lvlJc w:val="right"/>
      <w:pPr>
        <w:ind w:left="7439" w:hanging="480"/>
      </w:pPr>
    </w:lvl>
  </w:abstractNum>
  <w:abstractNum w:abstractNumId="23" w15:restartNumberingAfterBreak="0">
    <w:nsid w:val="3F543A49"/>
    <w:multiLevelType w:val="hybridMultilevel"/>
    <w:tmpl w:val="8B68BB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0D56EEE"/>
    <w:multiLevelType w:val="hybridMultilevel"/>
    <w:tmpl w:val="30F0D150"/>
    <w:lvl w:ilvl="0" w:tplc="FC04E89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DC23E9"/>
    <w:multiLevelType w:val="hybridMultilevel"/>
    <w:tmpl w:val="EA8202D0"/>
    <w:lvl w:ilvl="0" w:tplc="46D01BB8">
      <w:start w:val="1"/>
      <w:numFmt w:val="decimal"/>
      <w:lvlText w:val="%1."/>
      <w:lvlJc w:val="left"/>
      <w:pPr>
        <w:ind w:left="1360" w:hanging="480"/>
      </w:pPr>
      <w:rPr>
        <w:color w:val="000000" w:themeColor="text1"/>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6" w15:restartNumberingAfterBreak="0">
    <w:nsid w:val="454A789E"/>
    <w:multiLevelType w:val="hybridMultilevel"/>
    <w:tmpl w:val="E3CCA546"/>
    <w:lvl w:ilvl="0" w:tplc="19D0AC28">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1B1229"/>
    <w:multiLevelType w:val="hybridMultilevel"/>
    <w:tmpl w:val="DB3ACE44"/>
    <w:lvl w:ilvl="0" w:tplc="C22C97DA">
      <w:start w:val="1"/>
      <w:numFmt w:val="taiwaneseCountingThousand"/>
      <w:lvlText w:val="(%1)"/>
      <w:lvlJc w:val="left"/>
      <w:pPr>
        <w:ind w:left="870" w:hanging="39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9DA6A66"/>
    <w:multiLevelType w:val="hybridMultilevel"/>
    <w:tmpl w:val="60E0D0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D7047"/>
    <w:multiLevelType w:val="hybridMultilevel"/>
    <w:tmpl w:val="BEAA21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E95C9C"/>
    <w:multiLevelType w:val="hybridMultilevel"/>
    <w:tmpl w:val="A778359C"/>
    <w:lvl w:ilvl="0" w:tplc="FEBAD3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0F04F6"/>
    <w:multiLevelType w:val="hybridMultilevel"/>
    <w:tmpl w:val="0DB2D562"/>
    <w:lvl w:ilvl="0" w:tplc="EB862F2C">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996E0C"/>
    <w:multiLevelType w:val="hybridMultilevel"/>
    <w:tmpl w:val="05AC1228"/>
    <w:lvl w:ilvl="0" w:tplc="0409000F">
      <w:start w:val="1"/>
      <w:numFmt w:val="decimal"/>
      <w:lvlText w:val="%1."/>
      <w:lvlJc w:val="left"/>
      <w:pPr>
        <w:ind w:left="1502" w:hanging="480"/>
      </w:p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33" w15:restartNumberingAfterBreak="0">
    <w:nsid w:val="54A5790F"/>
    <w:multiLevelType w:val="multilevel"/>
    <w:tmpl w:val="3524FF12"/>
    <w:lvl w:ilvl="0">
      <w:start w:val="1"/>
      <w:numFmt w:val="taiwaneseCountingThousand"/>
      <w:lvlText w:val="%1、"/>
      <w:lvlJc w:val="left"/>
      <w:pPr>
        <w:ind w:left="1756" w:hanging="480"/>
      </w:pPr>
    </w:lvl>
    <w:lvl w:ilvl="1">
      <w:start w:val="1"/>
      <w:numFmt w:val="decimal"/>
      <w:lvlText w:val="(%2)"/>
      <w:lvlJc w:val="left"/>
      <w:pPr>
        <w:ind w:left="960" w:hanging="480"/>
      </w:pPr>
      <w:rPr>
        <w:rFonts w:hint="default"/>
        <w:color w:val="FF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6AA0611"/>
    <w:multiLevelType w:val="multilevel"/>
    <w:tmpl w:val="389E6722"/>
    <w:lvl w:ilvl="0">
      <w:start w:val="1"/>
      <w:numFmt w:val="taiwaneseCountingThousand"/>
      <w:lvlText w:val="%1、"/>
      <w:lvlJc w:val="left"/>
      <w:pPr>
        <w:ind w:left="480" w:hanging="480"/>
      </w:pPr>
      <w:rPr>
        <w:color w:val="000000" w:themeColor="text1"/>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AD275BE"/>
    <w:multiLevelType w:val="hybridMultilevel"/>
    <w:tmpl w:val="03D07B3E"/>
    <w:lvl w:ilvl="0" w:tplc="82849B6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392529"/>
    <w:multiLevelType w:val="hybridMultilevel"/>
    <w:tmpl w:val="915E6948"/>
    <w:lvl w:ilvl="0" w:tplc="4E1861EA">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9B37D5"/>
    <w:multiLevelType w:val="multilevel"/>
    <w:tmpl w:val="C75E0690"/>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4001E5E"/>
    <w:multiLevelType w:val="multilevel"/>
    <w:tmpl w:val="9C02857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9B21616"/>
    <w:multiLevelType w:val="hybridMultilevel"/>
    <w:tmpl w:val="EFDEDDA0"/>
    <w:lvl w:ilvl="0" w:tplc="E3E2D0F6">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DB0456"/>
    <w:multiLevelType w:val="multilevel"/>
    <w:tmpl w:val="C75E0690"/>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E6E3917"/>
    <w:multiLevelType w:val="hybridMultilevel"/>
    <w:tmpl w:val="BEAA21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C52934"/>
    <w:multiLevelType w:val="multilevel"/>
    <w:tmpl w:val="9C02857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97016CF"/>
    <w:multiLevelType w:val="multilevel"/>
    <w:tmpl w:val="8E9A3666"/>
    <w:lvl w:ilvl="0">
      <w:start w:val="1"/>
      <w:numFmt w:val="taiwaneseCountingThousand"/>
      <w:lvlText w:val="%1、"/>
      <w:lvlJc w:val="left"/>
      <w:pPr>
        <w:ind w:left="480" w:hanging="480"/>
      </w:pPr>
      <w:rPr>
        <w:color w:val="000000" w:themeColor="text1"/>
      </w:rPr>
    </w:lvl>
    <w:lvl w:ilvl="1">
      <w:start w:val="1"/>
      <w:numFmt w:val="taiwaneseCountingThousand"/>
      <w:lvlText w:val="(%2)"/>
      <w:lvlJc w:val="left"/>
      <w:pPr>
        <w:ind w:left="888" w:hanging="408"/>
      </w:pPr>
      <w:rPr>
        <w:color w:val="000000" w:themeColor="text1"/>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7D5C1F"/>
    <w:multiLevelType w:val="multilevel"/>
    <w:tmpl w:val="C75E0690"/>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F5B1B01"/>
    <w:multiLevelType w:val="multilevel"/>
    <w:tmpl w:val="C75E0690"/>
    <w:lvl w:ilvl="0">
      <w:start w:val="1"/>
      <w:numFmt w:val="taiwaneseCountingThousand"/>
      <w:lvlText w:val="%1、"/>
      <w:lvlJc w:val="left"/>
      <w:pPr>
        <w:ind w:left="480" w:hanging="480"/>
      </w:pPr>
      <w:rPr>
        <w:color w:val="auto"/>
      </w:rPr>
    </w:lvl>
    <w:lvl w:ilvl="1">
      <w:start w:val="1"/>
      <w:numFmt w:val="taiwaneseCountingThousand"/>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2"/>
  </w:num>
  <w:num w:numId="2">
    <w:abstractNumId w:val="8"/>
  </w:num>
  <w:num w:numId="3">
    <w:abstractNumId w:val="33"/>
  </w:num>
  <w:num w:numId="4">
    <w:abstractNumId w:val="17"/>
  </w:num>
  <w:num w:numId="5">
    <w:abstractNumId w:val="3"/>
  </w:num>
  <w:num w:numId="6">
    <w:abstractNumId w:val="1"/>
  </w:num>
  <w:num w:numId="7">
    <w:abstractNumId w:val="38"/>
  </w:num>
  <w:num w:numId="8">
    <w:abstractNumId w:val="13"/>
  </w:num>
  <w:num w:numId="9">
    <w:abstractNumId w:val="27"/>
  </w:num>
  <w:num w:numId="10">
    <w:abstractNumId w:val="20"/>
  </w:num>
  <w:num w:numId="11">
    <w:abstractNumId w:val="30"/>
  </w:num>
  <w:num w:numId="12">
    <w:abstractNumId w:val="39"/>
  </w:num>
  <w:num w:numId="13">
    <w:abstractNumId w:val="42"/>
  </w:num>
  <w:num w:numId="14">
    <w:abstractNumId w:val="29"/>
  </w:num>
  <w:num w:numId="15">
    <w:abstractNumId w:val="28"/>
  </w:num>
  <w:num w:numId="16">
    <w:abstractNumId w:val="44"/>
  </w:num>
  <w:num w:numId="17">
    <w:abstractNumId w:val="19"/>
  </w:num>
  <w:num w:numId="18">
    <w:abstractNumId w:val="37"/>
  </w:num>
  <w:num w:numId="19">
    <w:abstractNumId w:val="34"/>
  </w:num>
  <w:num w:numId="20">
    <w:abstractNumId w:val="0"/>
  </w:num>
  <w:num w:numId="21">
    <w:abstractNumId w:val="12"/>
  </w:num>
  <w:num w:numId="22">
    <w:abstractNumId w:val="4"/>
  </w:num>
  <w:num w:numId="23">
    <w:abstractNumId w:val="6"/>
  </w:num>
  <w:num w:numId="24">
    <w:abstractNumId w:val="36"/>
  </w:num>
  <w:num w:numId="25">
    <w:abstractNumId w:val="31"/>
  </w:num>
  <w:num w:numId="26">
    <w:abstractNumId w:val="25"/>
  </w:num>
  <w:num w:numId="27">
    <w:abstractNumId w:val="23"/>
  </w:num>
  <w:num w:numId="28">
    <w:abstractNumId w:val="24"/>
  </w:num>
  <w:num w:numId="29">
    <w:abstractNumId w:val="35"/>
  </w:num>
  <w:num w:numId="30">
    <w:abstractNumId w:val="11"/>
  </w:num>
  <w:num w:numId="31">
    <w:abstractNumId w:val="26"/>
  </w:num>
  <w:num w:numId="32">
    <w:abstractNumId w:val="41"/>
  </w:num>
  <w:num w:numId="33">
    <w:abstractNumId w:val="2"/>
  </w:num>
  <w:num w:numId="34">
    <w:abstractNumId w:val="45"/>
  </w:num>
  <w:num w:numId="35">
    <w:abstractNumId w:val="18"/>
  </w:num>
  <w:num w:numId="36">
    <w:abstractNumId w:val="40"/>
  </w:num>
  <w:num w:numId="37">
    <w:abstractNumId w:val="7"/>
  </w:num>
  <w:num w:numId="38">
    <w:abstractNumId w:val="32"/>
  </w:num>
  <w:num w:numId="39">
    <w:abstractNumId w:val="43"/>
  </w:num>
  <w:num w:numId="40">
    <w:abstractNumId w:val="21"/>
  </w:num>
  <w:num w:numId="41">
    <w:abstractNumId w:val="10"/>
  </w:num>
  <w:num w:numId="42">
    <w:abstractNumId w:val="9"/>
  </w:num>
  <w:num w:numId="43">
    <w:abstractNumId w:val="5"/>
  </w:num>
  <w:num w:numId="44">
    <w:abstractNumId w:val="16"/>
  </w:num>
  <w:num w:numId="45">
    <w:abstractNumId w:val="14"/>
  </w:num>
  <w:num w:numId="4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50"/>
  <w:autoHyphenation/>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61"/>
    <w:rsid w:val="0000304B"/>
    <w:rsid w:val="0000339B"/>
    <w:rsid w:val="000034B5"/>
    <w:rsid w:val="00003D54"/>
    <w:rsid w:val="00010792"/>
    <w:rsid w:val="0001208B"/>
    <w:rsid w:val="000126BB"/>
    <w:rsid w:val="00012A76"/>
    <w:rsid w:val="00012FFC"/>
    <w:rsid w:val="00013492"/>
    <w:rsid w:val="00013A77"/>
    <w:rsid w:val="00014ACF"/>
    <w:rsid w:val="00015385"/>
    <w:rsid w:val="0002020B"/>
    <w:rsid w:val="000204E5"/>
    <w:rsid w:val="00020E6E"/>
    <w:rsid w:val="0002295E"/>
    <w:rsid w:val="000258AE"/>
    <w:rsid w:val="000301C4"/>
    <w:rsid w:val="000306C5"/>
    <w:rsid w:val="00030EED"/>
    <w:rsid w:val="00031069"/>
    <w:rsid w:val="000330CE"/>
    <w:rsid w:val="000333CA"/>
    <w:rsid w:val="000345E4"/>
    <w:rsid w:val="00034AEB"/>
    <w:rsid w:val="000410A2"/>
    <w:rsid w:val="00044398"/>
    <w:rsid w:val="000447A9"/>
    <w:rsid w:val="00044AE2"/>
    <w:rsid w:val="000504DA"/>
    <w:rsid w:val="00052FE7"/>
    <w:rsid w:val="0005356B"/>
    <w:rsid w:val="000541A4"/>
    <w:rsid w:val="0005540F"/>
    <w:rsid w:val="00060877"/>
    <w:rsid w:val="0006093F"/>
    <w:rsid w:val="0006416F"/>
    <w:rsid w:val="00066E79"/>
    <w:rsid w:val="00074C67"/>
    <w:rsid w:val="000761E4"/>
    <w:rsid w:val="00081BE3"/>
    <w:rsid w:val="00083DE7"/>
    <w:rsid w:val="000846F6"/>
    <w:rsid w:val="000849DE"/>
    <w:rsid w:val="00084B25"/>
    <w:rsid w:val="000850AC"/>
    <w:rsid w:val="00085116"/>
    <w:rsid w:val="000904D5"/>
    <w:rsid w:val="0009085D"/>
    <w:rsid w:val="00090FB0"/>
    <w:rsid w:val="00092156"/>
    <w:rsid w:val="00094028"/>
    <w:rsid w:val="0009452C"/>
    <w:rsid w:val="00097157"/>
    <w:rsid w:val="000A02E1"/>
    <w:rsid w:val="000A239A"/>
    <w:rsid w:val="000A24DC"/>
    <w:rsid w:val="000A3B74"/>
    <w:rsid w:val="000A456A"/>
    <w:rsid w:val="000A4AD7"/>
    <w:rsid w:val="000A584F"/>
    <w:rsid w:val="000B0323"/>
    <w:rsid w:val="000B1912"/>
    <w:rsid w:val="000B1F96"/>
    <w:rsid w:val="000C10AE"/>
    <w:rsid w:val="000C110E"/>
    <w:rsid w:val="000C2232"/>
    <w:rsid w:val="000C32E3"/>
    <w:rsid w:val="000C4BCA"/>
    <w:rsid w:val="000C64DE"/>
    <w:rsid w:val="000C69C5"/>
    <w:rsid w:val="000C71AC"/>
    <w:rsid w:val="000C7F6F"/>
    <w:rsid w:val="000D46E1"/>
    <w:rsid w:val="000E1873"/>
    <w:rsid w:val="000E3036"/>
    <w:rsid w:val="000E4AB8"/>
    <w:rsid w:val="000E58D5"/>
    <w:rsid w:val="000E7756"/>
    <w:rsid w:val="000F182A"/>
    <w:rsid w:val="000F7422"/>
    <w:rsid w:val="000F77C8"/>
    <w:rsid w:val="00102A30"/>
    <w:rsid w:val="001038F7"/>
    <w:rsid w:val="00103F51"/>
    <w:rsid w:val="00105447"/>
    <w:rsid w:val="00107B06"/>
    <w:rsid w:val="00114C32"/>
    <w:rsid w:val="00120F14"/>
    <w:rsid w:val="00122BEA"/>
    <w:rsid w:val="00125000"/>
    <w:rsid w:val="00130B9F"/>
    <w:rsid w:val="00132023"/>
    <w:rsid w:val="001348E6"/>
    <w:rsid w:val="00143063"/>
    <w:rsid w:val="0014398F"/>
    <w:rsid w:val="00146306"/>
    <w:rsid w:val="00146DD5"/>
    <w:rsid w:val="00150462"/>
    <w:rsid w:val="0015168A"/>
    <w:rsid w:val="0015236F"/>
    <w:rsid w:val="00156040"/>
    <w:rsid w:val="001619E6"/>
    <w:rsid w:val="00162738"/>
    <w:rsid w:val="00163AE5"/>
    <w:rsid w:val="001661CB"/>
    <w:rsid w:val="001750DA"/>
    <w:rsid w:val="001752F0"/>
    <w:rsid w:val="001778DA"/>
    <w:rsid w:val="00177E73"/>
    <w:rsid w:val="001815E9"/>
    <w:rsid w:val="001836FE"/>
    <w:rsid w:val="00186D55"/>
    <w:rsid w:val="0019120C"/>
    <w:rsid w:val="00191938"/>
    <w:rsid w:val="00191AED"/>
    <w:rsid w:val="0019637C"/>
    <w:rsid w:val="00197351"/>
    <w:rsid w:val="001A1F12"/>
    <w:rsid w:val="001B570E"/>
    <w:rsid w:val="001B7253"/>
    <w:rsid w:val="001B7365"/>
    <w:rsid w:val="001B7C84"/>
    <w:rsid w:val="001C1FF9"/>
    <w:rsid w:val="001C24FC"/>
    <w:rsid w:val="001C2E2A"/>
    <w:rsid w:val="001C5558"/>
    <w:rsid w:val="001C6A64"/>
    <w:rsid w:val="001C75FB"/>
    <w:rsid w:val="001C7DD4"/>
    <w:rsid w:val="001D0E5B"/>
    <w:rsid w:val="001E4505"/>
    <w:rsid w:val="001E5EDB"/>
    <w:rsid w:val="001E759C"/>
    <w:rsid w:val="001F1230"/>
    <w:rsid w:val="001F18F3"/>
    <w:rsid w:val="001F1BF3"/>
    <w:rsid w:val="001F6E5E"/>
    <w:rsid w:val="001F70E8"/>
    <w:rsid w:val="00204504"/>
    <w:rsid w:val="00206A6F"/>
    <w:rsid w:val="00210390"/>
    <w:rsid w:val="00210B52"/>
    <w:rsid w:val="00212FEF"/>
    <w:rsid w:val="00214CA6"/>
    <w:rsid w:val="00214EE1"/>
    <w:rsid w:val="002202CB"/>
    <w:rsid w:val="00225919"/>
    <w:rsid w:val="00226429"/>
    <w:rsid w:val="00230B16"/>
    <w:rsid w:val="00231291"/>
    <w:rsid w:val="00233323"/>
    <w:rsid w:val="002339DD"/>
    <w:rsid w:val="00237FD5"/>
    <w:rsid w:val="00240187"/>
    <w:rsid w:val="00240632"/>
    <w:rsid w:val="002410E5"/>
    <w:rsid w:val="0024284D"/>
    <w:rsid w:val="0024331E"/>
    <w:rsid w:val="0024424C"/>
    <w:rsid w:val="0024505F"/>
    <w:rsid w:val="00245086"/>
    <w:rsid w:val="002466C4"/>
    <w:rsid w:val="002468A6"/>
    <w:rsid w:val="00252676"/>
    <w:rsid w:val="0025494F"/>
    <w:rsid w:val="0025525D"/>
    <w:rsid w:val="002603FE"/>
    <w:rsid w:val="0026266F"/>
    <w:rsid w:val="0026279B"/>
    <w:rsid w:val="002633BD"/>
    <w:rsid w:val="00264BA8"/>
    <w:rsid w:val="002661DA"/>
    <w:rsid w:val="002712E0"/>
    <w:rsid w:val="00272058"/>
    <w:rsid w:val="002762AE"/>
    <w:rsid w:val="00276749"/>
    <w:rsid w:val="00277C67"/>
    <w:rsid w:val="00285AD6"/>
    <w:rsid w:val="002861AC"/>
    <w:rsid w:val="002874BA"/>
    <w:rsid w:val="00291232"/>
    <w:rsid w:val="002969CB"/>
    <w:rsid w:val="002A0455"/>
    <w:rsid w:val="002A134D"/>
    <w:rsid w:val="002A1512"/>
    <w:rsid w:val="002A395F"/>
    <w:rsid w:val="002A52F5"/>
    <w:rsid w:val="002A5F98"/>
    <w:rsid w:val="002A66FF"/>
    <w:rsid w:val="002A6A7F"/>
    <w:rsid w:val="002A7583"/>
    <w:rsid w:val="002B49A9"/>
    <w:rsid w:val="002B4C90"/>
    <w:rsid w:val="002B547F"/>
    <w:rsid w:val="002B5921"/>
    <w:rsid w:val="002C03A5"/>
    <w:rsid w:val="002C37E9"/>
    <w:rsid w:val="002D2B93"/>
    <w:rsid w:val="002D2DF1"/>
    <w:rsid w:val="002E34A4"/>
    <w:rsid w:val="002E436A"/>
    <w:rsid w:val="002E571D"/>
    <w:rsid w:val="002E6C5F"/>
    <w:rsid w:val="002E79C8"/>
    <w:rsid w:val="002F4439"/>
    <w:rsid w:val="002F5222"/>
    <w:rsid w:val="002F647D"/>
    <w:rsid w:val="00300150"/>
    <w:rsid w:val="00300593"/>
    <w:rsid w:val="00300E1C"/>
    <w:rsid w:val="003058E0"/>
    <w:rsid w:val="00312738"/>
    <w:rsid w:val="00312CD8"/>
    <w:rsid w:val="00313FA1"/>
    <w:rsid w:val="00314926"/>
    <w:rsid w:val="00314B23"/>
    <w:rsid w:val="00315E21"/>
    <w:rsid w:val="00320C61"/>
    <w:rsid w:val="00323992"/>
    <w:rsid w:val="00336C16"/>
    <w:rsid w:val="00336C8E"/>
    <w:rsid w:val="0034225E"/>
    <w:rsid w:val="00342882"/>
    <w:rsid w:val="00344375"/>
    <w:rsid w:val="0034500B"/>
    <w:rsid w:val="0035044A"/>
    <w:rsid w:val="0035306D"/>
    <w:rsid w:val="00356F51"/>
    <w:rsid w:val="003611AE"/>
    <w:rsid w:val="00362905"/>
    <w:rsid w:val="00367815"/>
    <w:rsid w:val="0037149A"/>
    <w:rsid w:val="00371EDF"/>
    <w:rsid w:val="00371F76"/>
    <w:rsid w:val="0037383F"/>
    <w:rsid w:val="0038195E"/>
    <w:rsid w:val="00381DA8"/>
    <w:rsid w:val="00383204"/>
    <w:rsid w:val="003932A3"/>
    <w:rsid w:val="00394AC5"/>
    <w:rsid w:val="00396FF5"/>
    <w:rsid w:val="003A2351"/>
    <w:rsid w:val="003A3458"/>
    <w:rsid w:val="003A4E19"/>
    <w:rsid w:val="003A5B95"/>
    <w:rsid w:val="003A7D34"/>
    <w:rsid w:val="003B10CE"/>
    <w:rsid w:val="003B21E9"/>
    <w:rsid w:val="003B646C"/>
    <w:rsid w:val="003B69FF"/>
    <w:rsid w:val="003C18FB"/>
    <w:rsid w:val="003C1CEE"/>
    <w:rsid w:val="003C2B3C"/>
    <w:rsid w:val="003C33C0"/>
    <w:rsid w:val="003C5D30"/>
    <w:rsid w:val="003D0BEB"/>
    <w:rsid w:val="003D288B"/>
    <w:rsid w:val="003D323F"/>
    <w:rsid w:val="003D49E7"/>
    <w:rsid w:val="003D6E83"/>
    <w:rsid w:val="003D7064"/>
    <w:rsid w:val="003D77D9"/>
    <w:rsid w:val="003E050D"/>
    <w:rsid w:val="003E11A8"/>
    <w:rsid w:val="003E21A6"/>
    <w:rsid w:val="003E3ED2"/>
    <w:rsid w:val="003F0FB4"/>
    <w:rsid w:val="003F172C"/>
    <w:rsid w:val="003F3C92"/>
    <w:rsid w:val="003F414B"/>
    <w:rsid w:val="003F4B0C"/>
    <w:rsid w:val="003F5125"/>
    <w:rsid w:val="003F5F9F"/>
    <w:rsid w:val="003F6B1A"/>
    <w:rsid w:val="0040038C"/>
    <w:rsid w:val="004110B5"/>
    <w:rsid w:val="00414CEF"/>
    <w:rsid w:val="00416314"/>
    <w:rsid w:val="00416A74"/>
    <w:rsid w:val="00417530"/>
    <w:rsid w:val="004177CB"/>
    <w:rsid w:val="004213E8"/>
    <w:rsid w:val="00423117"/>
    <w:rsid w:val="004276E4"/>
    <w:rsid w:val="00432C2B"/>
    <w:rsid w:val="00433CD4"/>
    <w:rsid w:val="0044043A"/>
    <w:rsid w:val="00440C11"/>
    <w:rsid w:val="00442AC0"/>
    <w:rsid w:val="0044533F"/>
    <w:rsid w:val="00446BD9"/>
    <w:rsid w:val="00452190"/>
    <w:rsid w:val="00455C68"/>
    <w:rsid w:val="00456B0C"/>
    <w:rsid w:val="004624B6"/>
    <w:rsid w:val="00462EF0"/>
    <w:rsid w:val="004643B7"/>
    <w:rsid w:val="0046757C"/>
    <w:rsid w:val="00467A96"/>
    <w:rsid w:val="00467F0F"/>
    <w:rsid w:val="00471132"/>
    <w:rsid w:val="004751FB"/>
    <w:rsid w:val="00480C3B"/>
    <w:rsid w:val="004841B4"/>
    <w:rsid w:val="00484260"/>
    <w:rsid w:val="00485490"/>
    <w:rsid w:val="00487BAF"/>
    <w:rsid w:val="00491CB0"/>
    <w:rsid w:val="0049210C"/>
    <w:rsid w:val="00495BBF"/>
    <w:rsid w:val="00495C3D"/>
    <w:rsid w:val="00495CA4"/>
    <w:rsid w:val="004964CB"/>
    <w:rsid w:val="0049700B"/>
    <w:rsid w:val="00497EFA"/>
    <w:rsid w:val="004A063B"/>
    <w:rsid w:val="004A21EF"/>
    <w:rsid w:val="004A39D9"/>
    <w:rsid w:val="004A41AD"/>
    <w:rsid w:val="004A4784"/>
    <w:rsid w:val="004A7A35"/>
    <w:rsid w:val="004B0052"/>
    <w:rsid w:val="004B4F7E"/>
    <w:rsid w:val="004B5A1B"/>
    <w:rsid w:val="004B6831"/>
    <w:rsid w:val="004B6B3F"/>
    <w:rsid w:val="004B73B6"/>
    <w:rsid w:val="004C1409"/>
    <w:rsid w:val="004C2E8F"/>
    <w:rsid w:val="004C34FE"/>
    <w:rsid w:val="004C4252"/>
    <w:rsid w:val="004C4B9B"/>
    <w:rsid w:val="004C593A"/>
    <w:rsid w:val="004C76A4"/>
    <w:rsid w:val="004C7B29"/>
    <w:rsid w:val="004D3009"/>
    <w:rsid w:val="004D42F0"/>
    <w:rsid w:val="004D4660"/>
    <w:rsid w:val="004D59DA"/>
    <w:rsid w:val="004D7B13"/>
    <w:rsid w:val="004E1798"/>
    <w:rsid w:val="004E2E91"/>
    <w:rsid w:val="004F0E38"/>
    <w:rsid w:val="004F1FF6"/>
    <w:rsid w:val="004F3474"/>
    <w:rsid w:val="004F6173"/>
    <w:rsid w:val="004F6EC5"/>
    <w:rsid w:val="005022A0"/>
    <w:rsid w:val="00502B9C"/>
    <w:rsid w:val="00504533"/>
    <w:rsid w:val="00504794"/>
    <w:rsid w:val="005067BC"/>
    <w:rsid w:val="00507C27"/>
    <w:rsid w:val="00510029"/>
    <w:rsid w:val="00510D59"/>
    <w:rsid w:val="00513D91"/>
    <w:rsid w:val="00514B49"/>
    <w:rsid w:val="00514B9B"/>
    <w:rsid w:val="00515FC8"/>
    <w:rsid w:val="0052212E"/>
    <w:rsid w:val="00523CA2"/>
    <w:rsid w:val="00525EAD"/>
    <w:rsid w:val="00527417"/>
    <w:rsid w:val="005312B5"/>
    <w:rsid w:val="005316A9"/>
    <w:rsid w:val="00531BD4"/>
    <w:rsid w:val="00532146"/>
    <w:rsid w:val="005329C5"/>
    <w:rsid w:val="0053542B"/>
    <w:rsid w:val="00535E6C"/>
    <w:rsid w:val="00536543"/>
    <w:rsid w:val="00537AD8"/>
    <w:rsid w:val="00537D3D"/>
    <w:rsid w:val="005427E3"/>
    <w:rsid w:val="0054549C"/>
    <w:rsid w:val="00545663"/>
    <w:rsid w:val="005475E8"/>
    <w:rsid w:val="00547E12"/>
    <w:rsid w:val="00550EAA"/>
    <w:rsid w:val="00552362"/>
    <w:rsid w:val="005534F2"/>
    <w:rsid w:val="00560E26"/>
    <w:rsid w:val="00561712"/>
    <w:rsid w:val="00562B99"/>
    <w:rsid w:val="005634A8"/>
    <w:rsid w:val="005652BB"/>
    <w:rsid w:val="00567B6E"/>
    <w:rsid w:val="0057012F"/>
    <w:rsid w:val="00570E2D"/>
    <w:rsid w:val="00572CDF"/>
    <w:rsid w:val="00572DEB"/>
    <w:rsid w:val="005732C8"/>
    <w:rsid w:val="00575AF2"/>
    <w:rsid w:val="005770BA"/>
    <w:rsid w:val="0057743B"/>
    <w:rsid w:val="00577FA7"/>
    <w:rsid w:val="005844F3"/>
    <w:rsid w:val="00585F01"/>
    <w:rsid w:val="005875CA"/>
    <w:rsid w:val="00590296"/>
    <w:rsid w:val="00590650"/>
    <w:rsid w:val="00593338"/>
    <w:rsid w:val="005934BE"/>
    <w:rsid w:val="00596575"/>
    <w:rsid w:val="005A0B64"/>
    <w:rsid w:val="005A531F"/>
    <w:rsid w:val="005B0071"/>
    <w:rsid w:val="005B12F3"/>
    <w:rsid w:val="005B243B"/>
    <w:rsid w:val="005B7DD5"/>
    <w:rsid w:val="005B7E03"/>
    <w:rsid w:val="005C05D4"/>
    <w:rsid w:val="005C063E"/>
    <w:rsid w:val="005C1A0B"/>
    <w:rsid w:val="005C3D17"/>
    <w:rsid w:val="005C42C4"/>
    <w:rsid w:val="005C5FF5"/>
    <w:rsid w:val="005D01CA"/>
    <w:rsid w:val="005D01EF"/>
    <w:rsid w:val="005D2FC3"/>
    <w:rsid w:val="005D7D64"/>
    <w:rsid w:val="005E0ED5"/>
    <w:rsid w:val="005E160F"/>
    <w:rsid w:val="005E4AF0"/>
    <w:rsid w:val="005F02A0"/>
    <w:rsid w:val="005F034B"/>
    <w:rsid w:val="005F1569"/>
    <w:rsid w:val="005F6F64"/>
    <w:rsid w:val="005F71AB"/>
    <w:rsid w:val="00603926"/>
    <w:rsid w:val="00603E29"/>
    <w:rsid w:val="00604C08"/>
    <w:rsid w:val="00605DF4"/>
    <w:rsid w:val="006152FF"/>
    <w:rsid w:val="00615D6C"/>
    <w:rsid w:val="00622338"/>
    <w:rsid w:val="00623431"/>
    <w:rsid w:val="006271D3"/>
    <w:rsid w:val="00630F6C"/>
    <w:rsid w:val="00632237"/>
    <w:rsid w:val="00632643"/>
    <w:rsid w:val="00635746"/>
    <w:rsid w:val="00636C7D"/>
    <w:rsid w:val="006373CA"/>
    <w:rsid w:val="006427FD"/>
    <w:rsid w:val="00643BB7"/>
    <w:rsid w:val="0065389B"/>
    <w:rsid w:val="0065419F"/>
    <w:rsid w:val="00656143"/>
    <w:rsid w:val="006674CA"/>
    <w:rsid w:val="006755DB"/>
    <w:rsid w:val="00677955"/>
    <w:rsid w:val="00680EDC"/>
    <w:rsid w:val="006830AA"/>
    <w:rsid w:val="00683F1B"/>
    <w:rsid w:val="00684BF8"/>
    <w:rsid w:val="00686724"/>
    <w:rsid w:val="006868AB"/>
    <w:rsid w:val="00687F32"/>
    <w:rsid w:val="006914DE"/>
    <w:rsid w:val="00697672"/>
    <w:rsid w:val="00697A82"/>
    <w:rsid w:val="00697F7D"/>
    <w:rsid w:val="006A1124"/>
    <w:rsid w:val="006A2E2F"/>
    <w:rsid w:val="006A61B5"/>
    <w:rsid w:val="006B3705"/>
    <w:rsid w:val="006B4F79"/>
    <w:rsid w:val="006B74E3"/>
    <w:rsid w:val="006C4914"/>
    <w:rsid w:val="006C49FB"/>
    <w:rsid w:val="006C50DD"/>
    <w:rsid w:val="006C63A8"/>
    <w:rsid w:val="006D0019"/>
    <w:rsid w:val="006D7340"/>
    <w:rsid w:val="006D7521"/>
    <w:rsid w:val="006E01DC"/>
    <w:rsid w:val="006E06BF"/>
    <w:rsid w:val="006E0ADB"/>
    <w:rsid w:val="006E23A3"/>
    <w:rsid w:val="006E24F9"/>
    <w:rsid w:val="006E48D1"/>
    <w:rsid w:val="006E6DBB"/>
    <w:rsid w:val="006F0439"/>
    <w:rsid w:val="006F072A"/>
    <w:rsid w:val="006F0F74"/>
    <w:rsid w:val="006F1A3C"/>
    <w:rsid w:val="006F4FAC"/>
    <w:rsid w:val="006F60DB"/>
    <w:rsid w:val="006F6B2D"/>
    <w:rsid w:val="006F7C7D"/>
    <w:rsid w:val="007002E9"/>
    <w:rsid w:val="00704D4C"/>
    <w:rsid w:val="00705386"/>
    <w:rsid w:val="00705AF9"/>
    <w:rsid w:val="007067EA"/>
    <w:rsid w:val="0070705C"/>
    <w:rsid w:val="00710D54"/>
    <w:rsid w:val="007140AE"/>
    <w:rsid w:val="00723BBB"/>
    <w:rsid w:val="007241DC"/>
    <w:rsid w:val="00725884"/>
    <w:rsid w:val="007258D6"/>
    <w:rsid w:val="00731DFF"/>
    <w:rsid w:val="00732CD5"/>
    <w:rsid w:val="00734E6D"/>
    <w:rsid w:val="00736844"/>
    <w:rsid w:val="007414C4"/>
    <w:rsid w:val="007416F8"/>
    <w:rsid w:val="00741814"/>
    <w:rsid w:val="0074369D"/>
    <w:rsid w:val="00746DB7"/>
    <w:rsid w:val="007479DD"/>
    <w:rsid w:val="007508C3"/>
    <w:rsid w:val="00750C97"/>
    <w:rsid w:val="007512C5"/>
    <w:rsid w:val="00752E0B"/>
    <w:rsid w:val="00753BF8"/>
    <w:rsid w:val="00753ECD"/>
    <w:rsid w:val="00754D94"/>
    <w:rsid w:val="00761C9A"/>
    <w:rsid w:val="00761DBF"/>
    <w:rsid w:val="007635EE"/>
    <w:rsid w:val="00764A45"/>
    <w:rsid w:val="00765E9D"/>
    <w:rsid w:val="00771187"/>
    <w:rsid w:val="00771E1F"/>
    <w:rsid w:val="007730C2"/>
    <w:rsid w:val="00775C19"/>
    <w:rsid w:val="00776755"/>
    <w:rsid w:val="00776E79"/>
    <w:rsid w:val="00776FCC"/>
    <w:rsid w:val="007803B4"/>
    <w:rsid w:val="00781735"/>
    <w:rsid w:val="00781798"/>
    <w:rsid w:val="00781F0D"/>
    <w:rsid w:val="007864C2"/>
    <w:rsid w:val="00787CDB"/>
    <w:rsid w:val="00792169"/>
    <w:rsid w:val="007929A1"/>
    <w:rsid w:val="00794227"/>
    <w:rsid w:val="007946DB"/>
    <w:rsid w:val="00794F41"/>
    <w:rsid w:val="00796800"/>
    <w:rsid w:val="00797DC2"/>
    <w:rsid w:val="007A1F16"/>
    <w:rsid w:val="007A225C"/>
    <w:rsid w:val="007A39A3"/>
    <w:rsid w:val="007A3B16"/>
    <w:rsid w:val="007A4222"/>
    <w:rsid w:val="007A70E4"/>
    <w:rsid w:val="007B066B"/>
    <w:rsid w:val="007B1686"/>
    <w:rsid w:val="007B3C78"/>
    <w:rsid w:val="007B3CB8"/>
    <w:rsid w:val="007B3DCA"/>
    <w:rsid w:val="007B60A7"/>
    <w:rsid w:val="007C0151"/>
    <w:rsid w:val="007C091A"/>
    <w:rsid w:val="007C3D16"/>
    <w:rsid w:val="007C3E4C"/>
    <w:rsid w:val="007C50C4"/>
    <w:rsid w:val="007D356B"/>
    <w:rsid w:val="007D6BB4"/>
    <w:rsid w:val="007D728C"/>
    <w:rsid w:val="007E0BD4"/>
    <w:rsid w:val="007E1698"/>
    <w:rsid w:val="007E19B6"/>
    <w:rsid w:val="007E2D41"/>
    <w:rsid w:val="007E565B"/>
    <w:rsid w:val="007E60D7"/>
    <w:rsid w:val="007E6F8B"/>
    <w:rsid w:val="007E7BFD"/>
    <w:rsid w:val="007F2A22"/>
    <w:rsid w:val="007F325E"/>
    <w:rsid w:val="007F32F4"/>
    <w:rsid w:val="007F4028"/>
    <w:rsid w:val="00800340"/>
    <w:rsid w:val="008012A5"/>
    <w:rsid w:val="00802C33"/>
    <w:rsid w:val="008033BC"/>
    <w:rsid w:val="008056C0"/>
    <w:rsid w:val="0080690E"/>
    <w:rsid w:val="008135FA"/>
    <w:rsid w:val="00814579"/>
    <w:rsid w:val="00815CD2"/>
    <w:rsid w:val="00820F6B"/>
    <w:rsid w:val="00823174"/>
    <w:rsid w:val="008244FA"/>
    <w:rsid w:val="008246FB"/>
    <w:rsid w:val="008249EA"/>
    <w:rsid w:val="008268FB"/>
    <w:rsid w:val="008279E9"/>
    <w:rsid w:val="008307AE"/>
    <w:rsid w:val="00831E51"/>
    <w:rsid w:val="00832588"/>
    <w:rsid w:val="0083347A"/>
    <w:rsid w:val="00835E67"/>
    <w:rsid w:val="00836323"/>
    <w:rsid w:val="00840AC0"/>
    <w:rsid w:val="0084200B"/>
    <w:rsid w:val="00845E7A"/>
    <w:rsid w:val="00847FC4"/>
    <w:rsid w:val="008519CE"/>
    <w:rsid w:val="0085243D"/>
    <w:rsid w:val="008529CC"/>
    <w:rsid w:val="00853CD6"/>
    <w:rsid w:val="0085418E"/>
    <w:rsid w:val="008656E9"/>
    <w:rsid w:val="0086617A"/>
    <w:rsid w:val="008664F8"/>
    <w:rsid w:val="00866C13"/>
    <w:rsid w:val="00870BDD"/>
    <w:rsid w:val="00871180"/>
    <w:rsid w:val="00872B99"/>
    <w:rsid w:val="00873983"/>
    <w:rsid w:val="00874D27"/>
    <w:rsid w:val="00877EF0"/>
    <w:rsid w:val="00880875"/>
    <w:rsid w:val="0088247C"/>
    <w:rsid w:val="008934F4"/>
    <w:rsid w:val="00897308"/>
    <w:rsid w:val="00897C86"/>
    <w:rsid w:val="008A0038"/>
    <w:rsid w:val="008A0505"/>
    <w:rsid w:val="008A150E"/>
    <w:rsid w:val="008A1707"/>
    <w:rsid w:val="008A2193"/>
    <w:rsid w:val="008A279D"/>
    <w:rsid w:val="008B7F0E"/>
    <w:rsid w:val="008C2B7E"/>
    <w:rsid w:val="008C2BB2"/>
    <w:rsid w:val="008C3DD6"/>
    <w:rsid w:val="008C6FE4"/>
    <w:rsid w:val="008C7772"/>
    <w:rsid w:val="008D1D7A"/>
    <w:rsid w:val="008D273E"/>
    <w:rsid w:val="008D3310"/>
    <w:rsid w:val="008D5412"/>
    <w:rsid w:val="008D77D7"/>
    <w:rsid w:val="008E2D37"/>
    <w:rsid w:val="008E4A21"/>
    <w:rsid w:val="008E7BBF"/>
    <w:rsid w:val="008E7CD0"/>
    <w:rsid w:val="008F08FA"/>
    <w:rsid w:val="008F0A31"/>
    <w:rsid w:val="008F1831"/>
    <w:rsid w:val="008F3AE6"/>
    <w:rsid w:val="008F3C9E"/>
    <w:rsid w:val="00904DB4"/>
    <w:rsid w:val="00904FEF"/>
    <w:rsid w:val="00905F25"/>
    <w:rsid w:val="0091143E"/>
    <w:rsid w:val="009114EA"/>
    <w:rsid w:val="009115C6"/>
    <w:rsid w:val="0091301E"/>
    <w:rsid w:val="00914210"/>
    <w:rsid w:val="00921802"/>
    <w:rsid w:val="00927F09"/>
    <w:rsid w:val="009301FB"/>
    <w:rsid w:val="0093119D"/>
    <w:rsid w:val="009318E8"/>
    <w:rsid w:val="009324B8"/>
    <w:rsid w:val="00933DCB"/>
    <w:rsid w:val="00940EE5"/>
    <w:rsid w:val="009454CE"/>
    <w:rsid w:val="00946740"/>
    <w:rsid w:val="00950AF8"/>
    <w:rsid w:val="00952F03"/>
    <w:rsid w:val="00955B2E"/>
    <w:rsid w:val="00960451"/>
    <w:rsid w:val="00961942"/>
    <w:rsid w:val="00965CA3"/>
    <w:rsid w:val="009735F4"/>
    <w:rsid w:val="00974C98"/>
    <w:rsid w:val="00975AFB"/>
    <w:rsid w:val="00976652"/>
    <w:rsid w:val="00981186"/>
    <w:rsid w:val="00982CAC"/>
    <w:rsid w:val="00983236"/>
    <w:rsid w:val="00984D61"/>
    <w:rsid w:val="0099017A"/>
    <w:rsid w:val="00990670"/>
    <w:rsid w:val="009923BB"/>
    <w:rsid w:val="00992F35"/>
    <w:rsid w:val="009935AE"/>
    <w:rsid w:val="00997919"/>
    <w:rsid w:val="009A0744"/>
    <w:rsid w:val="009A1175"/>
    <w:rsid w:val="009A1712"/>
    <w:rsid w:val="009A4F6D"/>
    <w:rsid w:val="009A5042"/>
    <w:rsid w:val="009B0D80"/>
    <w:rsid w:val="009B1964"/>
    <w:rsid w:val="009B3AFD"/>
    <w:rsid w:val="009C01B9"/>
    <w:rsid w:val="009C1C60"/>
    <w:rsid w:val="009C2296"/>
    <w:rsid w:val="009C3072"/>
    <w:rsid w:val="009C477B"/>
    <w:rsid w:val="009D2168"/>
    <w:rsid w:val="009D272A"/>
    <w:rsid w:val="009D4332"/>
    <w:rsid w:val="009D4CE6"/>
    <w:rsid w:val="009D514A"/>
    <w:rsid w:val="009D580F"/>
    <w:rsid w:val="009D794B"/>
    <w:rsid w:val="009E02EE"/>
    <w:rsid w:val="009E306F"/>
    <w:rsid w:val="009E65AD"/>
    <w:rsid w:val="009E6ADA"/>
    <w:rsid w:val="009F0700"/>
    <w:rsid w:val="009F4394"/>
    <w:rsid w:val="009F464B"/>
    <w:rsid w:val="009F6449"/>
    <w:rsid w:val="00A027A0"/>
    <w:rsid w:val="00A13072"/>
    <w:rsid w:val="00A1466E"/>
    <w:rsid w:val="00A152E1"/>
    <w:rsid w:val="00A16708"/>
    <w:rsid w:val="00A17C4F"/>
    <w:rsid w:val="00A2208F"/>
    <w:rsid w:val="00A2638B"/>
    <w:rsid w:val="00A26800"/>
    <w:rsid w:val="00A27437"/>
    <w:rsid w:val="00A27F5C"/>
    <w:rsid w:val="00A3117E"/>
    <w:rsid w:val="00A330EC"/>
    <w:rsid w:val="00A36E42"/>
    <w:rsid w:val="00A37F6F"/>
    <w:rsid w:val="00A43307"/>
    <w:rsid w:val="00A51BE8"/>
    <w:rsid w:val="00A61BA3"/>
    <w:rsid w:val="00A63CEA"/>
    <w:rsid w:val="00A67D7B"/>
    <w:rsid w:val="00A7080D"/>
    <w:rsid w:val="00A708E2"/>
    <w:rsid w:val="00A71590"/>
    <w:rsid w:val="00A75C22"/>
    <w:rsid w:val="00A7603D"/>
    <w:rsid w:val="00A7678C"/>
    <w:rsid w:val="00A84AE2"/>
    <w:rsid w:val="00A865E7"/>
    <w:rsid w:val="00A91193"/>
    <w:rsid w:val="00A93D9B"/>
    <w:rsid w:val="00A94424"/>
    <w:rsid w:val="00A94A54"/>
    <w:rsid w:val="00A94D8A"/>
    <w:rsid w:val="00A971CA"/>
    <w:rsid w:val="00A976BD"/>
    <w:rsid w:val="00AA0645"/>
    <w:rsid w:val="00AA16F8"/>
    <w:rsid w:val="00AA18A2"/>
    <w:rsid w:val="00AA4D29"/>
    <w:rsid w:val="00AA4D52"/>
    <w:rsid w:val="00AA620C"/>
    <w:rsid w:val="00AB1964"/>
    <w:rsid w:val="00AB1A07"/>
    <w:rsid w:val="00AB22C4"/>
    <w:rsid w:val="00AB2B38"/>
    <w:rsid w:val="00AB32F3"/>
    <w:rsid w:val="00AB4248"/>
    <w:rsid w:val="00AB5A9E"/>
    <w:rsid w:val="00AB6639"/>
    <w:rsid w:val="00AB71EC"/>
    <w:rsid w:val="00AC7AB0"/>
    <w:rsid w:val="00AD0EB5"/>
    <w:rsid w:val="00AD11A0"/>
    <w:rsid w:val="00AD3968"/>
    <w:rsid w:val="00AD4E37"/>
    <w:rsid w:val="00AD512A"/>
    <w:rsid w:val="00AD5EFA"/>
    <w:rsid w:val="00AD76F2"/>
    <w:rsid w:val="00AD78CA"/>
    <w:rsid w:val="00AE0086"/>
    <w:rsid w:val="00AE0F28"/>
    <w:rsid w:val="00AE4AA2"/>
    <w:rsid w:val="00AE71C1"/>
    <w:rsid w:val="00AF096F"/>
    <w:rsid w:val="00AF3AE6"/>
    <w:rsid w:val="00AF3D6D"/>
    <w:rsid w:val="00AF4039"/>
    <w:rsid w:val="00AF6732"/>
    <w:rsid w:val="00B004FC"/>
    <w:rsid w:val="00B018AE"/>
    <w:rsid w:val="00B02D0E"/>
    <w:rsid w:val="00B02D85"/>
    <w:rsid w:val="00B043A0"/>
    <w:rsid w:val="00B07398"/>
    <w:rsid w:val="00B10CC3"/>
    <w:rsid w:val="00B13C71"/>
    <w:rsid w:val="00B17A94"/>
    <w:rsid w:val="00B20115"/>
    <w:rsid w:val="00B21014"/>
    <w:rsid w:val="00B21308"/>
    <w:rsid w:val="00B23695"/>
    <w:rsid w:val="00B23B36"/>
    <w:rsid w:val="00B24B9C"/>
    <w:rsid w:val="00B25689"/>
    <w:rsid w:val="00B25EB2"/>
    <w:rsid w:val="00B269FF"/>
    <w:rsid w:val="00B275DA"/>
    <w:rsid w:val="00B2762A"/>
    <w:rsid w:val="00B30FDA"/>
    <w:rsid w:val="00B34EED"/>
    <w:rsid w:val="00B353D6"/>
    <w:rsid w:val="00B42C05"/>
    <w:rsid w:val="00B467A1"/>
    <w:rsid w:val="00B46D26"/>
    <w:rsid w:val="00B473AA"/>
    <w:rsid w:val="00B5084B"/>
    <w:rsid w:val="00B5438C"/>
    <w:rsid w:val="00B545EF"/>
    <w:rsid w:val="00B579F3"/>
    <w:rsid w:val="00B61841"/>
    <w:rsid w:val="00B61864"/>
    <w:rsid w:val="00B64001"/>
    <w:rsid w:val="00B64184"/>
    <w:rsid w:val="00B64DD1"/>
    <w:rsid w:val="00B70B1D"/>
    <w:rsid w:val="00B70C01"/>
    <w:rsid w:val="00B730CB"/>
    <w:rsid w:val="00B74225"/>
    <w:rsid w:val="00B80094"/>
    <w:rsid w:val="00B80F3F"/>
    <w:rsid w:val="00B81DC8"/>
    <w:rsid w:val="00B81E78"/>
    <w:rsid w:val="00B828D5"/>
    <w:rsid w:val="00B830C9"/>
    <w:rsid w:val="00B838A4"/>
    <w:rsid w:val="00B8724B"/>
    <w:rsid w:val="00B9141E"/>
    <w:rsid w:val="00B958B8"/>
    <w:rsid w:val="00BA1E7E"/>
    <w:rsid w:val="00BB13C1"/>
    <w:rsid w:val="00BB2861"/>
    <w:rsid w:val="00BB540C"/>
    <w:rsid w:val="00BB7F0F"/>
    <w:rsid w:val="00BC0851"/>
    <w:rsid w:val="00BC242E"/>
    <w:rsid w:val="00BC2FB1"/>
    <w:rsid w:val="00BC3240"/>
    <w:rsid w:val="00BC479C"/>
    <w:rsid w:val="00BC4AF7"/>
    <w:rsid w:val="00BC53DF"/>
    <w:rsid w:val="00BC621A"/>
    <w:rsid w:val="00BC663F"/>
    <w:rsid w:val="00BD0044"/>
    <w:rsid w:val="00BD0D85"/>
    <w:rsid w:val="00BD372C"/>
    <w:rsid w:val="00BD4287"/>
    <w:rsid w:val="00BD678D"/>
    <w:rsid w:val="00BE0030"/>
    <w:rsid w:val="00BE48B5"/>
    <w:rsid w:val="00BF0100"/>
    <w:rsid w:val="00BF01F0"/>
    <w:rsid w:val="00BF257F"/>
    <w:rsid w:val="00BF4F0B"/>
    <w:rsid w:val="00BF5D47"/>
    <w:rsid w:val="00BF65BE"/>
    <w:rsid w:val="00BF683D"/>
    <w:rsid w:val="00C00CDD"/>
    <w:rsid w:val="00C021AF"/>
    <w:rsid w:val="00C035B4"/>
    <w:rsid w:val="00C0368D"/>
    <w:rsid w:val="00C04611"/>
    <w:rsid w:val="00C046A0"/>
    <w:rsid w:val="00C05261"/>
    <w:rsid w:val="00C064E0"/>
    <w:rsid w:val="00C06921"/>
    <w:rsid w:val="00C06BAF"/>
    <w:rsid w:val="00C07F82"/>
    <w:rsid w:val="00C11753"/>
    <w:rsid w:val="00C12B32"/>
    <w:rsid w:val="00C14319"/>
    <w:rsid w:val="00C1476D"/>
    <w:rsid w:val="00C15305"/>
    <w:rsid w:val="00C15C5A"/>
    <w:rsid w:val="00C16578"/>
    <w:rsid w:val="00C17595"/>
    <w:rsid w:val="00C2237C"/>
    <w:rsid w:val="00C237AB"/>
    <w:rsid w:val="00C23B68"/>
    <w:rsid w:val="00C23C47"/>
    <w:rsid w:val="00C23D4E"/>
    <w:rsid w:val="00C24CD3"/>
    <w:rsid w:val="00C24CE6"/>
    <w:rsid w:val="00C30CFA"/>
    <w:rsid w:val="00C339B0"/>
    <w:rsid w:val="00C33DC3"/>
    <w:rsid w:val="00C366C7"/>
    <w:rsid w:val="00C36E5B"/>
    <w:rsid w:val="00C40A97"/>
    <w:rsid w:val="00C41396"/>
    <w:rsid w:val="00C42F85"/>
    <w:rsid w:val="00C4590D"/>
    <w:rsid w:val="00C50C2E"/>
    <w:rsid w:val="00C564E6"/>
    <w:rsid w:val="00C575CC"/>
    <w:rsid w:val="00C57FD3"/>
    <w:rsid w:val="00C60890"/>
    <w:rsid w:val="00C623F4"/>
    <w:rsid w:val="00C6276A"/>
    <w:rsid w:val="00C63211"/>
    <w:rsid w:val="00C63D9A"/>
    <w:rsid w:val="00C648A9"/>
    <w:rsid w:val="00C649AF"/>
    <w:rsid w:val="00C658E7"/>
    <w:rsid w:val="00C65B59"/>
    <w:rsid w:val="00C70E06"/>
    <w:rsid w:val="00C7162E"/>
    <w:rsid w:val="00C74F7F"/>
    <w:rsid w:val="00C802DD"/>
    <w:rsid w:val="00C80DD1"/>
    <w:rsid w:val="00C82C25"/>
    <w:rsid w:val="00C83991"/>
    <w:rsid w:val="00C86A3A"/>
    <w:rsid w:val="00C87DAD"/>
    <w:rsid w:val="00C9047B"/>
    <w:rsid w:val="00C94160"/>
    <w:rsid w:val="00C956A2"/>
    <w:rsid w:val="00C95FAB"/>
    <w:rsid w:val="00C97BD7"/>
    <w:rsid w:val="00CA1C08"/>
    <w:rsid w:val="00CA61C2"/>
    <w:rsid w:val="00CB09FE"/>
    <w:rsid w:val="00CB2A9E"/>
    <w:rsid w:val="00CB7225"/>
    <w:rsid w:val="00CC1556"/>
    <w:rsid w:val="00CC194A"/>
    <w:rsid w:val="00CC4D50"/>
    <w:rsid w:val="00CC5FDF"/>
    <w:rsid w:val="00CC7D14"/>
    <w:rsid w:val="00CD31DF"/>
    <w:rsid w:val="00CD53D5"/>
    <w:rsid w:val="00CD6EAA"/>
    <w:rsid w:val="00CD7D74"/>
    <w:rsid w:val="00CE7903"/>
    <w:rsid w:val="00CF6EE3"/>
    <w:rsid w:val="00D024EC"/>
    <w:rsid w:val="00D02C67"/>
    <w:rsid w:val="00D10CF9"/>
    <w:rsid w:val="00D159C0"/>
    <w:rsid w:val="00D1678B"/>
    <w:rsid w:val="00D17393"/>
    <w:rsid w:val="00D20A1C"/>
    <w:rsid w:val="00D2204E"/>
    <w:rsid w:val="00D36D0A"/>
    <w:rsid w:val="00D3751D"/>
    <w:rsid w:val="00D376BC"/>
    <w:rsid w:val="00D445C3"/>
    <w:rsid w:val="00D47C50"/>
    <w:rsid w:val="00D51C2B"/>
    <w:rsid w:val="00D51C73"/>
    <w:rsid w:val="00D53074"/>
    <w:rsid w:val="00D56E93"/>
    <w:rsid w:val="00D56FCD"/>
    <w:rsid w:val="00D61030"/>
    <w:rsid w:val="00D63A9B"/>
    <w:rsid w:val="00D64A80"/>
    <w:rsid w:val="00D65BC8"/>
    <w:rsid w:val="00D7139E"/>
    <w:rsid w:val="00D716DC"/>
    <w:rsid w:val="00D74A8B"/>
    <w:rsid w:val="00D80A3F"/>
    <w:rsid w:val="00D80ECE"/>
    <w:rsid w:val="00D82555"/>
    <w:rsid w:val="00D85713"/>
    <w:rsid w:val="00D87D6E"/>
    <w:rsid w:val="00D94548"/>
    <w:rsid w:val="00D94D9D"/>
    <w:rsid w:val="00D9709D"/>
    <w:rsid w:val="00D97898"/>
    <w:rsid w:val="00DA07FD"/>
    <w:rsid w:val="00DA138C"/>
    <w:rsid w:val="00DA1FA7"/>
    <w:rsid w:val="00DA481A"/>
    <w:rsid w:val="00DA64B0"/>
    <w:rsid w:val="00DB12E7"/>
    <w:rsid w:val="00DB1424"/>
    <w:rsid w:val="00DB746D"/>
    <w:rsid w:val="00DC0D56"/>
    <w:rsid w:val="00DC206C"/>
    <w:rsid w:val="00DC3C64"/>
    <w:rsid w:val="00DC61E5"/>
    <w:rsid w:val="00DC68D4"/>
    <w:rsid w:val="00DD1669"/>
    <w:rsid w:val="00DD4076"/>
    <w:rsid w:val="00DD5D57"/>
    <w:rsid w:val="00DD63A1"/>
    <w:rsid w:val="00DE1975"/>
    <w:rsid w:val="00DE224A"/>
    <w:rsid w:val="00DE6925"/>
    <w:rsid w:val="00DE7B0A"/>
    <w:rsid w:val="00DF0683"/>
    <w:rsid w:val="00DF5360"/>
    <w:rsid w:val="00DF5A4A"/>
    <w:rsid w:val="00DF6CE0"/>
    <w:rsid w:val="00E0214D"/>
    <w:rsid w:val="00E062B0"/>
    <w:rsid w:val="00E1361F"/>
    <w:rsid w:val="00E144CE"/>
    <w:rsid w:val="00E159AF"/>
    <w:rsid w:val="00E16556"/>
    <w:rsid w:val="00E2040D"/>
    <w:rsid w:val="00E20C8A"/>
    <w:rsid w:val="00E24497"/>
    <w:rsid w:val="00E30196"/>
    <w:rsid w:val="00E3427B"/>
    <w:rsid w:val="00E36AB2"/>
    <w:rsid w:val="00E36E3E"/>
    <w:rsid w:val="00E401C0"/>
    <w:rsid w:val="00E440C8"/>
    <w:rsid w:val="00E44491"/>
    <w:rsid w:val="00E46363"/>
    <w:rsid w:val="00E46E8A"/>
    <w:rsid w:val="00E47A8E"/>
    <w:rsid w:val="00E52EDD"/>
    <w:rsid w:val="00E55619"/>
    <w:rsid w:val="00E65C04"/>
    <w:rsid w:val="00E70BB9"/>
    <w:rsid w:val="00E71AC8"/>
    <w:rsid w:val="00E7346D"/>
    <w:rsid w:val="00E73C95"/>
    <w:rsid w:val="00E748DD"/>
    <w:rsid w:val="00E85952"/>
    <w:rsid w:val="00E85E7C"/>
    <w:rsid w:val="00E869B5"/>
    <w:rsid w:val="00E9053C"/>
    <w:rsid w:val="00E9129F"/>
    <w:rsid w:val="00E9200D"/>
    <w:rsid w:val="00E93EF8"/>
    <w:rsid w:val="00E95D2B"/>
    <w:rsid w:val="00EA1598"/>
    <w:rsid w:val="00EA66BD"/>
    <w:rsid w:val="00EA68F9"/>
    <w:rsid w:val="00EA711C"/>
    <w:rsid w:val="00EB13C2"/>
    <w:rsid w:val="00EB1953"/>
    <w:rsid w:val="00EB4BE0"/>
    <w:rsid w:val="00EB5312"/>
    <w:rsid w:val="00EC212A"/>
    <w:rsid w:val="00EC2D66"/>
    <w:rsid w:val="00EC340F"/>
    <w:rsid w:val="00ED14C5"/>
    <w:rsid w:val="00ED2C6C"/>
    <w:rsid w:val="00ED39A7"/>
    <w:rsid w:val="00EE039B"/>
    <w:rsid w:val="00EE3C36"/>
    <w:rsid w:val="00EE5191"/>
    <w:rsid w:val="00EE6143"/>
    <w:rsid w:val="00EF25C4"/>
    <w:rsid w:val="00EF3CC3"/>
    <w:rsid w:val="00EF3CFE"/>
    <w:rsid w:val="00EF7D9C"/>
    <w:rsid w:val="00F00764"/>
    <w:rsid w:val="00F02CEB"/>
    <w:rsid w:val="00F07617"/>
    <w:rsid w:val="00F139B1"/>
    <w:rsid w:val="00F16DD7"/>
    <w:rsid w:val="00F2152D"/>
    <w:rsid w:val="00F22D9A"/>
    <w:rsid w:val="00F25ED1"/>
    <w:rsid w:val="00F336F1"/>
    <w:rsid w:val="00F350BB"/>
    <w:rsid w:val="00F354A5"/>
    <w:rsid w:val="00F37E51"/>
    <w:rsid w:val="00F41057"/>
    <w:rsid w:val="00F42332"/>
    <w:rsid w:val="00F448F7"/>
    <w:rsid w:val="00F45D79"/>
    <w:rsid w:val="00F469AD"/>
    <w:rsid w:val="00F47FE9"/>
    <w:rsid w:val="00F529BD"/>
    <w:rsid w:val="00F616CE"/>
    <w:rsid w:val="00F616EB"/>
    <w:rsid w:val="00F623B4"/>
    <w:rsid w:val="00F6296E"/>
    <w:rsid w:val="00F65997"/>
    <w:rsid w:val="00F66D3B"/>
    <w:rsid w:val="00F705E2"/>
    <w:rsid w:val="00F75115"/>
    <w:rsid w:val="00F8014A"/>
    <w:rsid w:val="00F85A50"/>
    <w:rsid w:val="00F87F65"/>
    <w:rsid w:val="00F93D7B"/>
    <w:rsid w:val="00F9418E"/>
    <w:rsid w:val="00F96433"/>
    <w:rsid w:val="00FA0518"/>
    <w:rsid w:val="00FA4FDB"/>
    <w:rsid w:val="00FA6105"/>
    <w:rsid w:val="00FB16F4"/>
    <w:rsid w:val="00FB237F"/>
    <w:rsid w:val="00FB749C"/>
    <w:rsid w:val="00FC21BE"/>
    <w:rsid w:val="00FC3E41"/>
    <w:rsid w:val="00FC4650"/>
    <w:rsid w:val="00FC5281"/>
    <w:rsid w:val="00FC6013"/>
    <w:rsid w:val="00FE0022"/>
    <w:rsid w:val="00FE054F"/>
    <w:rsid w:val="00FE1D10"/>
    <w:rsid w:val="00FE20B1"/>
    <w:rsid w:val="00FE35CB"/>
    <w:rsid w:val="00FE3727"/>
    <w:rsid w:val="00FE48CE"/>
    <w:rsid w:val="00FF01DD"/>
    <w:rsid w:val="00FF083F"/>
    <w:rsid w:val="00FF6C39"/>
    <w:rsid w:val="00FF6E62"/>
    <w:rsid w:val="00FF7F26"/>
  </w:rsids>
  <m:mathPr>
    <m:mathFont m:val="Cambria Math"/>
    <m:brkBin m:val="before"/>
    <m:brkBinSub m:val="--"/>
    <m:smallFrac m:val="0"/>
    <m:dispDef/>
    <m:lMargin m:val="0"/>
    <m:rMargin m:val="0"/>
    <m:defJc m:val="centerGroup"/>
    <m:wrapIndent m:val="1440"/>
    <m:intLim m:val="subSup"/>
    <m:naryLim m:val="undOvr"/>
  </m:mathPr>
  <w:themeFontLang w:val="en-US"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ECA5256"/>
  <w15:docId w15:val="{523E691B-7D1C-434B-A3CF-3213FD65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link w:val="10"/>
    <w:uiPriority w:val="9"/>
    <w:qFormat/>
    <w:rsid w:val="000330C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0330C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6E0ADB"/>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eastAsia="新細明體" w:hAnsi="Calibri"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eastAsia="新細明體" w:hAnsi="Calibri" w:cs="Times New Roman"/>
      <w:sz w:val="20"/>
      <w:szCs w:val="20"/>
    </w:rPr>
  </w:style>
  <w:style w:type="paragraph" w:styleId="a7">
    <w:name w:val="List Paragraph"/>
    <w:basedOn w:val="a"/>
    <w:qFormat/>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8">
    <w:name w:val="Placeholder Text"/>
    <w:basedOn w:val="a0"/>
    <w:rPr>
      <w:color w:val="808080"/>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character" w:customStyle="1" w:styleId="ab">
    <w:name w:val="清單段落 字元"/>
    <w:rPr>
      <w:rFonts w:ascii="Calibri" w:eastAsia="新細明體" w:hAnsi="Calibri" w:cs="Times New Roman"/>
    </w:rPr>
  </w:style>
  <w:style w:type="paragraph" w:styleId="ac">
    <w:name w:val="Salutation"/>
    <w:basedOn w:val="a"/>
    <w:next w:val="a"/>
    <w:link w:val="ad"/>
    <w:uiPriority w:val="99"/>
    <w:unhideWhenUsed/>
    <w:rsid w:val="00C021AF"/>
    <w:rPr>
      <w:rFonts w:ascii="Times New Roman" w:eastAsia="標楷體" w:hAnsi="Times New Roman"/>
      <w:color w:val="FF0000"/>
      <w:szCs w:val="24"/>
    </w:rPr>
  </w:style>
  <w:style w:type="character" w:customStyle="1" w:styleId="ad">
    <w:name w:val="問候 字元"/>
    <w:basedOn w:val="a0"/>
    <w:link w:val="ac"/>
    <w:uiPriority w:val="99"/>
    <w:rsid w:val="00C021AF"/>
    <w:rPr>
      <w:rFonts w:ascii="Times New Roman" w:eastAsia="標楷體" w:hAnsi="Times New Roman"/>
      <w:color w:val="FF0000"/>
      <w:szCs w:val="24"/>
    </w:rPr>
  </w:style>
  <w:style w:type="paragraph" w:styleId="ae">
    <w:name w:val="Closing"/>
    <w:basedOn w:val="a"/>
    <w:link w:val="af"/>
    <w:uiPriority w:val="99"/>
    <w:unhideWhenUsed/>
    <w:rsid w:val="00C021AF"/>
    <w:pPr>
      <w:ind w:leftChars="1800" w:left="100"/>
    </w:pPr>
    <w:rPr>
      <w:rFonts w:ascii="Times New Roman" w:eastAsia="標楷體" w:hAnsi="Times New Roman"/>
      <w:color w:val="FF0000"/>
      <w:szCs w:val="24"/>
    </w:rPr>
  </w:style>
  <w:style w:type="character" w:customStyle="1" w:styleId="af">
    <w:name w:val="結語 字元"/>
    <w:basedOn w:val="a0"/>
    <w:link w:val="ae"/>
    <w:uiPriority w:val="99"/>
    <w:rsid w:val="00C021AF"/>
    <w:rPr>
      <w:rFonts w:ascii="Times New Roman" w:eastAsia="標楷體" w:hAnsi="Times New Roman"/>
      <w:color w:val="FF0000"/>
      <w:szCs w:val="24"/>
    </w:rPr>
  </w:style>
  <w:style w:type="character" w:customStyle="1" w:styleId="30">
    <w:name w:val="標題 3 字元"/>
    <w:basedOn w:val="a0"/>
    <w:link w:val="3"/>
    <w:uiPriority w:val="9"/>
    <w:rsid w:val="006E0ADB"/>
    <w:rPr>
      <w:rFonts w:ascii="新細明體" w:hAnsi="新細明體" w:cs="新細明體"/>
      <w:b/>
      <w:bCs/>
      <w:kern w:val="0"/>
      <w:sz w:val="27"/>
      <w:szCs w:val="27"/>
    </w:rPr>
  </w:style>
  <w:style w:type="paragraph" w:styleId="HTML">
    <w:name w:val="HTML Preformatted"/>
    <w:basedOn w:val="a"/>
    <w:link w:val="HTML0"/>
    <w:uiPriority w:val="99"/>
    <w:unhideWhenUsed/>
    <w:rsid w:val="005617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561712"/>
    <w:rPr>
      <w:rFonts w:ascii="細明體" w:eastAsia="細明體" w:hAnsi="細明體" w:cs="細明體"/>
      <w:kern w:val="0"/>
      <w:szCs w:val="24"/>
    </w:rPr>
  </w:style>
  <w:style w:type="table" w:styleId="af0">
    <w:name w:val="Table Grid"/>
    <w:basedOn w:val="a1"/>
    <w:uiPriority w:val="39"/>
    <w:rsid w:val="005C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0330CE"/>
    <w:rPr>
      <w:rFonts w:asciiTheme="majorHAnsi" w:eastAsiaTheme="majorEastAsia" w:hAnsiTheme="majorHAnsi" w:cstheme="majorBidi"/>
      <w:b/>
      <w:bCs/>
      <w:sz w:val="48"/>
      <w:szCs w:val="48"/>
    </w:rPr>
  </w:style>
  <w:style w:type="character" w:customStyle="1" w:styleId="10">
    <w:name w:val="標題 1 字元"/>
    <w:basedOn w:val="a0"/>
    <w:link w:val="1"/>
    <w:uiPriority w:val="9"/>
    <w:rsid w:val="000330CE"/>
    <w:rPr>
      <w:rFonts w:asciiTheme="majorHAnsi" w:eastAsiaTheme="majorEastAsia" w:hAnsiTheme="majorHAnsi" w:cstheme="majorBidi"/>
      <w:b/>
      <w:bCs/>
      <w:kern w:val="52"/>
      <w:sz w:val="52"/>
      <w:szCs w:val="52"/>
    </w:rPr>
  </w:style>
  <w:style w:type="character" w:styleId="af1">
    <w:name w:val="Hyperlink"/>
    <w:basedOn w:val="a0"/>
    <w:uiPriority w:val="99"/>
    <w:unhideWhenUsed/>
    <w:rsid w:val="00FE35CB"/>
    <w:rPr>
      <w:color w:val="0563C1" w:themeColor="hyperlink"/>
      <w:u w:val="single"/>
    </w:rPr>
  </w:style>
  <w:style w:type="character" w:styleId="af2">
    <w:name w:val="FollowedHyperlink"/>
    <w:basedOn w:val="a0"/>
    <w:uiPriority w:val="99"/>
    <w:semiHidden/>
    <w:unhideWhenUsed/>
    <w:rsid w:val="006E2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97679">
      <w:bodyDiv w:val="1"/>
      <w:marLeft w:val="0"/>
      <w:marRight w:val="0"/>
      <w:marTop w:val="0"/>
      <w:marBottom w:val="0"/>
      <w:divBdr>
        <w:top w:val="none" w:sz="0" w:space="0" w:color="auto"/>
        <w:left w:val="none" w:sz="0" w:space="0" w:color="auto"/>
        <w:bottom w:val="none" w:sz="0" w:space="0" w:color="auto"/>
        <w:right w:val="none" w:sz="0" w:space="0" w:color="auto"/>
      </w:divBdr>
    </w:div>
    <w:div w:id="670135694">
      <w:bodyDiv w:val="1"/>
      <w:marLeft w:val="0"/>
      <w:marRight w:val="0"/>
      <w:marTop w:val="0"/>
      <w:marBottom w:val="0"/>
      <w:divBdr>
        <w:top w:val="none" w:sz="0" w:space="0" w:color="auto"/>
        <w:left w:val="none" w:sz="0" w:space="0" w:color="auto"/>
        <w:bottom w:val="none" w:sz="0" w:space="0" w:color="auto"/>
        <w:right w:val="none" w:sz="0" w:space="0" w:color="auto"/>
      </w:divBdr>
    </w:div>
    <w:div w:id="754866358">
      <w:bodyDiv w:val="1"/>
      <w:marLeft w:val="0"/>
      <w:marRight w:val="0"/>
      <w:marTop w:val="0"/>
      <w:marBottom w:val="0"/>
      <w:divBdr>
        <w:top w:val="none" w:sz="0" w:space="0" w:color="auto"/>
        <w:left w:val="none" w:sz="0" w:space="0" w:color="auto"/>
        <w:bottom w:val="none" w:sz="0" w:space="0" w:color="auto"/>
        <w:right w:val="none" w:sz="0" w:space="0" w:color="auto"/>
      </w:divBdr>
    </w:div>
    <w:div w:id="789397297">
      <w:bodyDiv w:val="1"/>
      <w:marLeft w:val="0"/>
      <w:marRight w:val="0"/>
      <w:marTop w:val="0"/>
      <w:marBottom w:val="0"/>
      <w:divBdr>
        <w:top w:val="none" w:sz="0" w:space="0" w:color="auto"/>
        <w:left w:val="none" w:sz="0" w:space="0" w:color="auto"/>
        <w:bottom w:val="none" w:sz="0" w:space="0" w:color="auto"/>
        <w:right w:val="none" w:sz="0" w:space="0" w:color="auto"/>
      </w:divBdr>
    </w:div>
    <w:div w:id="864708728">
      <w:bodyDiv w:val="1"/>
      <w:marLeft w:val="0"/>
      <w:marRight w:val="0"/>
      <w:marTop w:val="0"/>
      <w:marBottom w:val="0"/>
      <w:divBdr>
        <w:top w:val="none" w:sz="0" w:space="0" w:color="auto"/>
        <w:left w:val="none" w:sz="0" w:space="0" w:color="auto"/>
        <w:bottom w:val="none" w:sz="0" w:space="0" w:color="auto"/>
        <w:right w:val="none" w:sz="0" w:space="0" w:color="auto"/>
      </w:divBdr>
    </w:div>
    <w:div w:id="1365518734">
      <w:bodyDiv w:val="1"/>
      <w:marLeft w:val="0"/>
      <w:marRight w:val="0"/>
      <w:marTop w:val="0"/>
      <w:marBottom w:val="0"/>
      <w:divBdr>
        <w:top w:val="none" w:sz="0" w:space="0" w:color="auto"/>
        <w:left w:val="none" w:sz="0" w:space="0" w:color="auto"/>
        <w:bottom w:val="none" w:sz="0" w:space="0" w:color="auto"/>
        <w:right w:val="none" w:sz="0" w:space="0" w:color="auto"/>
      </w:divBdr>
    </w:div>
    <w:div w:id="1459375370">
      <w:bodyDiv w:val="1"/>
      <w:marLeft w:val="0"/>
      <w:marRight w:val="0"/>
      <w:marTop w:val="0"/>
      <w:marBottom w:val="0"/>
      <w:divBdr>
        <w:top w:val="none" w:sz="0" w:space="0" w:color="auto"/>
        <w:left w:val="none" w:sz="0" w:space="0" w:color="auto"/>
        <w:bottom w:val="none" w:sz="0" w:space="0" w:color="auto"/>
        <w:right w:val="none" w:sz="0" w:space="0" w:color="auto"/>
      </w:divBdr>
    </w:div>
    <w:div w:id="1618023423">
      <w:bodyDiv w:val="1"/>
      <w:marLeft w:val="0"/>
      <w:marRight w:val="0"/>
      <w:marTop w:val="0"/>
      <w:marBottom w:val="0"/>
      <w:divBdr>
        <w:top w:val="none" w:sz="0" w:space="0" w:color="auto"/>
        <w:left w:val="none" w:sz="0" w:space="0" w:color="auto"/>
        <w:bottom w:val="none" w:sz="0" w:space="0" w:color="auto"/>
        <w:right w:val="none" w:sz="0" w:space="0" w:color="auto"/>
      </w:divBdr>
    </w:div>
    <w:div w:id="1818572509">
      <w:bodyDiv w:val="1"/>
      <w:marLeft w:val="0"/>
      <w:marRight w:val="0"/>
      <w:marTop w:val="0"/>
      <w:marBottom w:val="0"/>
      <w:divBdr>
        <w:top w:val="none" w:sz="0" w:space="0" w:color="auto"/>
        <w:left w:val="none" w:sz="0" w:space="0" w:color="auto"/>
        <w:bottom w:val="none" w:sz="0" w:space="0" w:color="auto"/>
        <w:right w:val="none" w:sz="0" w:space="0" w:color="auto"/>
      </w:divBdr>
    </w:div>
    <w:div w:id="1948805401">
      <w:bodyDiv w:val="1"/>
      <w:marLeft w:val="0"/>
      <w:marRight w:val="0"/>
      <w:marTop w:val="0"/>
      <w:marBottom w:val="0"/>
      <w:divBdr>
        <w:top w:val="none" w:sz="0" w:space="0" w:color="auto"/>
        <w:left w:val="none" w:sz="0" w:space="0" w:color="auto"/>
        <w:bottom w:val="none" w:sz="0" w:space="0" w:color="auto"/>
        <w:right w:val="none" w:sz="0" w:space="0" w:color="auto"/>
      </w:divBdr>
    </w:div>
    <w:div w:id="203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ndreview@tdcc.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981D-8B6E-4AB9-B1D0-89D600B8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陳偉瑜</dc:creator>
  <cp:keywords/>
  <dc:description/>
  <cp:lastModifiedBy>張瓊文</cp:lastModifiedBy>
  <cp:revision>28</cp:revision>
  <cp:lastPrinted>2023-12-12T02:30:00Z</cp:lastPrinted>
  <dcterms:created xsi:type="dcterms:W3CDTF">2023-12-01T07:30:00Z</dcterms:created>
  <dcterms:modified xsi:type="dcterms:W3CDTF">2023-12-26T01:57:00Z</dcterms:modified>
</cp:coreProperties>
</file>